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555"/>
        <w:tblW w:w="0" w:type="auto"/>
        <w:tblLayout w:type="fixed"/>
        <w:tblCellMar>
          <w:left w:w="70" w:type="dxa"/>
          <w:right w:w="70" w:type="dxa"/>
        </w:tblCellMar>
        <w:tblLook w:val="0000"/>
      </w:tblPr>
      <w:tblGrid>
        <w:gridCol w:w="1336"/>
        <w:gridCol w:w="7809"/>
      </w:tblGrid>
      <w:tr w:rsidR="00C33499" w:rsidTr="00570466">
        <w:trPr>
          <w:trHeight w:val="839"/>
        </w:trPr>
        <w:tc>
          <w:tcPr>
            <w:tcW w:w="1336" w:type="dxa"/>
            <w:tcBorders>
              <w:top w:val="nil"/>
              <w:left w:val="nil"/>
              <w:bottom w:val="nil"/>
              <w:right w:val="nil"/>
            </w:tcBorders>
          </w:tcPr>
          <w:p w:rsidR="00C33499" w:rsidRDefault="00C33499" w:rsidP="00570466">
            <w:pPr>
              <w:pStyle w:val="stbilgi"/>
            </w:pPr>
            <w:r>
              <w:rPr>
                <w:noProof/>
                <w:lang w:eastAsia="tr-TR"/>
              </w:rPr>
              <w:drawing>
                <wp:inline distT="0" distB="0" distL="0" distR="0">
                  <wp:extent cx="771525" cy="952500"/>
                  <wp:effectExtent l="19050" t="0" r="9525" b="0"/>
                  <wp:docPr id="1"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srcRect/>
                          <a:stretch>
                            <a:fillRect/>
                          </a:stretch>
                        </pic:blipFill>
                        <pic:spPr bwMode="auto">
                          <a:xfrm>
                            <a:off x="0" y="0"/>
                            <a:ext cx="771525" cy="952500"/>
                          </a:xfrm>
                          <a:prstGeom prst="rect">
                            <a:avLst/>
                          </a:prstGeom>
                          <a:noFill/>
                          <a:ln w="9525">
                            <a:noFill/>
                            <a:miter lim="800000"/>
                            <a:headEnd/>
                            <a:tailEnd/>
                          </a:ln>
                        </pic:spPr>
                      </pic:pic>
                    </a:graphicData>
                  </a:graphic>
                </wp:inline>
              </w:drawing>
            </w:r>
          </w:p>
        </w:tc>
        <w:tc>
          <w:tcPr>
            <w:tcW w:w="7809" w:type="dxa"/>
            <w:tcBorders>
              <w:top w:val="nil"/>
              <w:left w:val="nil"/>
              <w:bottom w:val="nil"/>
              <w:right w:val="nil"/>
            </w:tcBorders>
          </w:tcPr>
          <w:p w:rsidR="00C33499" w:rsidRDefault="00C33499" w:rsidP="00570466">
            <w:pPr>
              <w:pStyle w:val="stbilgi"/>
              <w:rPr>
                <w:rFonts w:ascii="Arial" w:hAnsi="Arial" w:cs="Arial"/>
                <w:b/>
                <w:bCs/>
                <w:color w:val="000080"/>
                <w:sz w:val="32"/>
                <w:szCs w:val="32"/>
              </w:rPr>
            </w:pPr>
            <w:r>
              <w:rPr>
                <w:rFonts w:ascii="Arial" w:hAnsi="Arial" w:cs="Arial"/>
                <w:b/>
                <w:bCs/>
                <w:color w:val="000080"/>
                <w:sz w:val="32"/>
                <w:szCs w:val="32"/>
              </w:rPr>
              <w:t>A N K A R A</w:t>
            </w:r>
          </w:p>
          <w:p w:rsidR="00C33499" w:rsidRDefault="00C33499" w:rsidP="00570466">
            <w:pPr>
              <w:pStyle w:val="stbilgi"/>
              <w:rPr>
                <w:rFonts w:ascii="Arial" w:hAnsi="Arial" w:cs="Arial"/>
                <w:b/>
                <w:bCs/>
                <w:color w:val="000080"/>
                <w:sz w:val="10"/>
                <w:szCs w:val="10"/>
              </w:rPr>
            </w:pPr>
          </w:p>
          <w:p w:rsidR="00C33499" w:rsidRDefault="00C33499" w:rsidP="00570466">
            <w:pPr>
              <w:pStyle w:val="stbilgi"/>
              <w:rPr>
                <w:rFonts w:ascii="Arial" w:hAnsi="Arial" w:cs="Arial"/>
                <w:b/>
                <w:bCs/>
                <w:color w:val="000080"/>
                <w:sz w:val="30"/>
                <w:szCs w:val="30"/>
              </w:rPr>
            </w:pPr>
            <w:r>
              <w:rPr>
                <w:rFonts w:ascii="Arial" w:hAnsi="Arial" w:cs="Arial"/>
                <w:b/>
                <w:bCs/>
                <w:color w:val="000080"/>
                <w:sz w:val="30"/>
                <w:szCs w:val="30"/>
              </w:rPr>
              <w:t>SERBEST MUHASEBECİ MALİ MÜŞAVİRLER</w:t>
            </w:r>
          </w:p>
          <w:p w:rsidR="00C33499" w:rsidRDefault="00C33499" w:rsidP="00570466">
            <w:pPr>
              <w:pStyle w:val="stbilgi"/>
              <w:rPr>
                <w:rFonts w:ascii="Arial" w:hAnsi="Arial" w:cs="Arial"/>
                <w:b/>
                <w:bCs/>
                <w:color w:val="000080"/>
                <w:sz w:val="10"/>
                <w:szCs w:val="10"/>
              </w:rPr>
            </w:pPr>
          </w:p>
          <w:p w:rsidR="00C33499" w:rsidRDefault="00C33499" w:rsidP="00570466">
            <w:pPr>
              <w:pStyle w:val="stbilgi"/>
              <w:rPr>
                <w:rFonts w:ascii="Arial" w:hAnsi="Arial" w:cs="Arial"/>
                <w:b/>
                <w:bCs/>
                <w:color w:val="000080"/>
                <w:sz w:val="32"/>
                <w:szCs w:val="32"/>
              </w:rPr>
            </w:pPr>
            <w:r>
              <w:rPr>
                <w:rFonts w:ascii="Arial" w:hAnsi="Arial" w:cs="Arial"/>
                <w:b/>
                <w:bCs/>
                <w:color w:val="000080"/>
                <w:sz w:val="30"/>
                <w:szCs w:val="30"/>
              </w:rPr>
              <w:t>O D A S I</w:t>
            </w:r>
          </w:p>
          <w:p w:rsidR="00C33499" w:rsidRDefault="00C33499" w:rsidP="00570466">
            <w:pPr>
              <w:pStyle w:val="stbilgi"/>
            </w:pPr>
          </w:p>
        </w:tc>
      </w:tr>
    </w:tbl>
    <w:p w:rsidR="00C33499" w:rsidRDefault="00C33499" w:rsidP="00C33499">
      <w:pPr>
        <w:jc w:val="center"/>
        <w:rPr>
          <w:b/>
          <w:sz w:val="32"/>
          <w:szCs w:val="32"/>
        </w:rPr>
      </w:pPr>
    </w:p>
    <w:p w:rsidR="00C33499" w:rsidRPr="001164F2" w:rsidRDefault="00C33499" w:rsidP="00C33499">
      <w:pPr>
        <w:jc w:val="center"/>
        <w:rPr>
          <w:b/>
          <w:sz w:val="32"/>
          <w:szCs w:val="32"/>
        </w:rPr>
      </w:pPr>
      <w:r>
        <w:rPr>
          <w:b/>
          <w:sz w:val="32"/>
          <w:szCs w:val="32"/>
        </w:rPr>
        <w:t>6736</w:t>
      </w:r>
      <w:r w:rsidRPr="00C97FE9">
        <w:rPr>
          <w:b/>
          <w:sz w:val="32"/>
          <w:szCs w:val="32"/>
        </w:rPr>
        <w:t xml:space="preserve"> SAYILI</w:t>
      </w:r>
      <w:r>
        <w:rPr>
          <w:b/>
          <w:sz w:val="32"/>
          <w:szCs w:val="32"/>
        </w:rPr>
        <w:t xml:space="preserve"> BAZI ALACAKLARIN YENİDEN YAPILANDIRILMASINA DAİR KANUNDAN</w:t>
      </w:r>
      <w:r w:rsidRPr="00C97FE9">
        <w:rPr>
          <w:b/>
          <w:sz w:val="32"/>
          <w:szCs w:val="32"/>
        </w:rPr>
        <w:t xml:space="preserve"> YARARLANMA FORMU</w:t>
      </w:r>
    </w:p>
    <w:p w:rsidR="00C33499" w:rsidRDefault="00C33499" w:rsidP="00C33499">
      <w:r>
        <w:t xml:space="preserve">Adı Soyadı            </w:t>
      </w:r>
      <w:proofErr w:type="gramStart"/>
      <w:r>
        <w:t>:………………………………………………………………………………………..</w:t>
      </w:r>
      <w:proofErr w:type="gramEnd"/>
    </w:p>
    <w:p w:rsidR="00C33499" w:rsidRDefault="00C33499" w:rsidP="00C33499">
      <w:r>
        <w:t>Unvanı                   :</w:t>
      </w:r>
      <w:r w:rsidRPr="00C97FE9">
        <w:t xml:space="preserve"> </w:t>
      </w:r>
      <w:proofErr w:type="gramStart"/>
      <w:r>
        <w:t>……………………………………………………………………………………….</w:t>
      </w:r>
      <w:proofErr w:type="gramEnd"/>
    </w:p>
    <w:p w:rsidR="00C33499" w:rsidRDefault="00C33499" w:rsidP="00C33499">
      <w:r>
        <w:t>Sicil No                   :</w:t>
      </w:r>
      <w:r w:rsidRPr="00B21F7A">
        <w:t xml:space="preserve"> </w:t>
      </w:r>
      <w:proofErr w:type="gramStart"/>
      <w:r>
        <w:t>……………………………………………………………………………………….</w:t>
      </w:r>
      <w:proofErr w:type="gramEnd"/>
    </w:p>
    <w:p w:rsidR="00C33499" w:rsidRDefault="00C33499" w:rsidP="00C33499">
      <w:r>
        <w:t>T.C. Kimlik No        :</w:t>
      </w:r>
      <w:r w:rsidRPr="00B21F7A">
        <w:t xml:space="preserve"> </w:t>
      </w:r>
      <w:proofErr w:type="gramStart"/>
      <w:r>
        <w:t>……………………………………………………………………………………….</w:t>
      </w:r>
      <w:proofErr w:type="gramEnd"/>
    </w:p>
    <w:p w:rsidR="00C33499" w:rsidRDefault="00C33499" w:rsidP="00C33499">
      <w:r>
        <w:t>İş Yeri Adresi          :</w:t>
      </w:r>
      <w:r w:rsidRPr="00B21F7A">
        <w:t xml:space="preserve"> </w:t>
      </w:r>
      <w:proofErr w:type="gramStart"/>
      <w:r>
        <w:t>……………………………………………………………………………………….</w:t>
      </w:r>
      <w:proofErr w:type="gramEnd"/>
    </w:p>
    <w:p w:rsidR="00C33499" w:rsidRDefault="00C33499" w:rsidP="00C33499">
      <w:r>
        <w:t>Ev Adresi                 :</w:t>
      </w:r>
      <w:r w:rsidRPr="00B21F7A">
        <w:t xml:space="preserve"> </w:t>
      </w:r>
      <w:proofErr w:type="gramStart"/>
      <w:r>
        <w:t>……………………………………………………………………………………….</w:t>
      </w:r>
      <w:proofErr w:type="gramEnd"/>
    </w:p>
    <w:p w:rsidR="00C33499" w:rsidRDefault="00C33499" w:rsidP="00C33499">
      <w:r>
        <w:t>İş Tel No                  :</w:t>
      </w:r>
      <w:r w:rsidRPr="00B21F7A">
        <w:t xml:space="preserve"> </w:t>
      </w:r>
      <w:proofErr w:type="gramStart"/>
      <w:r>
        <w:t>…………………………</w:t>
      </w:r>
      <w:proofErr w:type="gramEnd"/>
      <w:r>
        <w:t xml:space="preserve">                Ev Tel No</w:t>
      </w:r>
      <w:proofErr w:type="gramStart"/>
      <w:r>
        <w:t>:…………………………</w:t>
      </w:r>
      <w:proofErr w:type="gramEnd"/>
      <w:r>
        <w:t xml:space="preserve">     Cep Tel No</w:t>
      </w:r>
      <w:proofErr w:type="gramStart"/>
      <w:r>
        <w:t>:……………………</w:t>
      </w:r>
      <w:proofErr w:type="gramEnd"/>
      <w:r>
        <w:t xml:space="preserve">                                           </w:t>
      </w:r>
    </w:p>
    <w:p w:rsidR="00C33499" w:rsidRDefault="00C33499" w:rsidP="00C33499">
      <w:r>
        <w:t>E Mail</w:t>
      </w:r>
      <w:r>
        <w:tab/>
        <w:t xml:space="preserve">                   : </w:t>
      </w:r>
      <w:proofErr w:type="gramStart"/>
      <w:r>
        <w:t>………………………………………..</w:t>
      </w:r>
      <w:proofErr w:type="gramEnd"/>
    </w:p>
    <w:p w:rsidR="00C33499" w:rsidRDefault="00C33499" w:rsidP="00C33499">
      <w:r>
        <w:t xml:space="preserve">6736 Sayılı Bazı Alacakların Yeniden Yapılandırılmasına Dair Kanunun 11/6 </w:t>
      </w:r>
      <w:proofErr w:type="gramStart"/>
      <w:r>
        <w:t>maddesine  göre</w:t>
      </w:r>
      <w:proofErr w:type="gramEnd"/>
      <w:r>
        <w:t>;</w:t>
      </w:r>
    </w:p>
    <w:p w:rsidR="00C33499" w:rsidRDefault="00C33499" w:rsidP="002340BD">
      <w:pPr>
        <w:pStyle w:val="NormalWeb"/>
        <w:shd w:val="clear" w:color="auto" w:fill="FFFFFF"/>
        <w:spacing w:before="0" w:beforeAutospacing="0" w:after="240" w:afterAutospacing="0" w:line="300" w:lineRule="atLeast"/>
        <w:jc w:val="both"/>
        <w:textAlignment w:val="baseline"/>
        <w:rPr>
          <w:rFonts w:ascii="Helvetica" w:hAnsi="Helvetica" w:cs="Helvetica"/>
          <w:color w:val="404040"/>
          <w:sz w:val="20"/>
          <w:szCs w:val="20"/>
        </w:rPr>
      </w:pPr>
      <w:r>
        <w:rPr>
          <w:rFonts w:ascii="Arial" w:hAnsi="Arial" w:cs="Arial"/>
          <w:b/>
          <w:bCs/>
          <w:color w:val="000000"/>
          <w:sz w:val="18"/>
          <w:szCs w:val="18"/>
        </w:rPr>
        <w:t>“MADDE 11/6</w:t>
      </w:r>
      <w:r w:rsidRPr="00C97FE9">
        <w:rPr>
          <w:rFonts w:ascii="Arial" w:hAnsi="Arial" w:cs="Arial"/>
          <w:b/>
          <w:bCs/>
          <w:color w:val="000000"/>
          <w:sz w:val="18"/>
          <w:szCs w:val="18"/>
        </w:rPr>
        <w:t>-</w:t>
      </w:r>
      <w:r w:rsidRPr="00C97FE9">
        <w:rPr>
          <w:rFonts w:ascii="Arial" w:hAnsi="Arial" w:cs="Arial"/>
          <w:color w:val="000000"/>
          <w:sz w:val="18"/>
          <w:szCs w:val="18"/>
        </w:rPr>
        <w:t xml:space="preserve"> </w:t>
      </w:r>
      <w:r>
        <w:rPr>
          <w:rFonts w:ascii="Helvetica" w:hAnsi="Helvetica" w:cs="Helvetica"/>
          <w:color w:val="404040"/>
          <w:sz w:val="20"/>
          <w:szCs w:val="20"/>
        </w:rPr>
        <w:t xml:space="preserve"> 30.06.</w:t>
      </w:r>
      <w:r w:rsidR="002340BD">
        <w:rPr>
          <w:rFonts w:ascii="Helvetica" w:hAnsi="Helvetica" w:cs="Helvetica"/>
          <w:color w:val="404040"/>
          <w:sz w:val="20"/>
          <w:szCs w:val="20"/>
        </w:rPr>
        <w:t xml:space="preserve">2016 tarihi (bu tarih </w:t>
      </w:r>
      <w:proofErr w:type="gramStart"/>
      <w:r w:rsidR="002340BD">
        <w:rPr>
          <w:rFonts w:ascii="Helvetica" w:hAnsi="Helvetica" w:cs="Helvetica"/>
          <w:color w:val="404040"/>
          <w:sz w:val="20"/>
          <w:szCs w:val="20"/>
        </w:rPr>
        <w:t>da</w:t>
      </w:r>
      <w:r>
        <w:rPr>
          <w:rFonts w:ascii="Helvetica" w:hAnsi="Helvetica" w:cs="Helvetica"/>
          <w:color w:val="404040"/>
          <w:sz w:val="20"/>
          <w:szCs w:val="20"/>
        </w:rPr>
        <w:t>hil</w:t>
      </w:r>
      <w:proofErr w:type="gramEnd"/>
      <w:r>
        <w:rPr>
          <w:rFonts w:ascii="Helvetica" w:hAnsi="Helvetica" w:cs="Helvetica"/>
          <w:color w:val="404040"/>
          <w:sz w:val="20"/>
          <w:szCs w:val="20"/>
        </w:rPr>
        <w:t>) itibarıyla, ödenmesi gerektiği halde bu Kanunun yayımlandığı tarihe kadar ödenmemiş olan, 1/6/1989 tarihli ve 3568 sayılı Serbest Muhasebeci Mali Müşavirlik ve Yeminli Mali Müşavirlik Kanunu hükümlerine göre meslek mensuplarının üyesi oldukları odalara olan aidat borçları ile odaların Türkiye Serbest Muhasebeci Mali Müşavirler ve Yeminli Mali Müşavirler Odaları Birliğine olan birlik payı borçlarının asıllarının ödenmemiş kısmının birinci taksiti bu Kanunun yürürlüğe girdiği tarihi takip eden üçüncü ayın sonuna kadar, kalanı aylık dönemler hâlinde ve azami toplam dokuz eşit taksitte ödenmesi hâlinde, bu alacaklara uygulanan faiz, gecikme faizi, gecikme zammı gibi fer’i alacakların, alacak asıllarının bu Kanunun yayımlandığı tarihten önce kısmen veya tamamen ödenmiş olması hâlinde ödenmiş borç asıllarına isabet eden faiz, gecikme faizi, gecikme zammı gibi fer’i alacakların tahsilinden vazgeçilir.</w:t>
      </w:r>
    </w:p>
    <w:p w:rsidR="00C33499" w:rsidRDefault="00C33499" w:rsidP="002340BD">
      <w:pPr>
        <w:pStyle w:val="NormalWeb"/>
        <w:shd w:val="clear" w:color="auto" w:fill="FFFFFF"/>
        <w:spacing w:before="0" w:beforeAutospacing="0" w:after="240" w:afterAutospacing="0" w:line="300" w:lineRule="atLeast"/>
        <w:ind w:firstLine="340"/>
        <w:jc w:val="both"/>
        <w:textAlignment w:val="baseline"/>
        <w:rPr>
          <w:rFonts w:ascii="Helvetica" w:hAnsi="Helvetica" w:cs="Helvetica"/>
          <w:color w:val="404040"/>
          <w:sz w:val="20"/>
          <w:szCs w:val="20"/>
        </w:rPr>
      </w:pPr>
      <w:r>
        <w:rPr>
          <w:rFonts w:ascii="Helvetica" w:hAnsi="Helvetica" w:cs="Helvetica"/>
          <w:color w:val="404040"/>
          <w:sz w:val="20"/>
          <w:szCs w:val="20"/>
        </w:rPr>
        <w:t xml:space="preserve">Bu fıkra hükmünden yararlanmak isteyenlerin bu Kanunun yürürlüğe girdiği tarihi izleyen ikinci ayın sonuna </w:t>
      </w:r>
      <w:proofErr w:type="gramStart"/>
      <w:r>
        <w:rPr>
          <w:rFonts w:ascii="Helvetica" w:hAnsi="Helvetica" w:cs="Helvetica"/>
          <w:color w:val="404040"/>
          <w:sz w:val="20"/>
          <w:szCs w:val="20"/>
        </w:rPr>
        <w:t>kadar   alacaklı</w:t>
      </w:r>
      <w:proofErr w:type="gramEnd"/>
      <w:r>
        <w:rPr>
          <w:rFonts w:ascii="Helvetica" w:hAnsi="Helvetica" w:cs="Helvetica"/>
          <w:color w:val="404040"/>
          <w:sz w:val="20"/>
          <w:szCs w:val="20"/>
        </w:rPr>
        <w:t xml:space="preserve"> birime başvurmaları şarttır. Fıkra kapsamında ödenmesi gereken tutarların fıkrada öngörülen süre ve şekilde kısmen veya tamamen ödenmemesi hâlinde, ödenmemiş alacak asılları ile bunlara ilişkin faiz, gecikme faizi, gecikme zammı gibi fer’i alacaklar ilgili mevzuat hükümlerine göre tahsil edilir.” denilmektedir.</w:t>
      </w:r>
    </w:p>
    <w:p w:rsidR="00C33499" w:rsidRPr="00732F60" w:rsidRDefault="00C33499" w:rsidP="002340BD">
      <w:pPr>
        <w:spacing w:after="0" w:line="240" w:lineRule="exact"/>
        <w:ind w:firstLine="340"/>
        <w:jc w:val="both"/>
        <w:rPr>
          <w:rFonts w:ascii="Arial" w:eastAsia="Times New Roman" w:hAnsi="Arial" w:cs="Arial"/>
          <w:b/>
          <w:color w:val="000000"/>
          <w:sz w:val="18"/>
          <w:szCs w:val="18"/>
        </w:rPr>
      </w:pPr>
      <w:r w:rsidRPr="00732F60">
        <w:rPr>
          <w:rFonts w:ascii="Arial" w:eastAsia="Times New Roman" w:hAnsi="Arial" w:cs="Arial"/>
          <w:b/>
          <w:color w:val="000000"/>
          <w:sz w:val="18"/>
          <w:szCs w:val="18"/>
        </w:rPr>
        <w:t xml:space="preserve">Yukarıda açıklanan hükümlere göre,   </w:t>
      </w:r>
      <w:proofErr w:type="gramStart"/>
      <w:r w:rsidRPr="00732F60">
        <w:rPr>
          <w:rFonts w:ascii="Arial" w:eastAsia="Times New Roman" w:hAnsi="Arial" w:cs="Arial"/>
          <w:b/>
          <w:color w:val="000000"/>
          <w:sz w:val="18"/>
          <w:szCs w:val="18"/>
        </w:rPr>
        <w:t>……………………</w:t>
      </w:r>
      <w:proofErr w:type="gramEnd"/>
      <w:r w:rsidRPr="00732F60">
        <w:rPr>
          <w:rFonts w:ascii="Arial" w:eastAsia="Times New Roman" w:hAnsi="Arial" w:cs="Arial"/>
          <w:b/>
          <w:color w:val="000000"/>
          <w:sz w:val="18"/>
          <w:szCs w:val="18"/>
        </w:rPr>
        <w:t>TL anapara borcumu</w:t>
      </w:r>
      <w:r>
        <w:rPr>
          <w:rFonts w:ascii="Arial" w:eastAsia="Times New Roman" w:hAnsi="Arial" w:cs="Arial"/>
          <w:b/>
          <w:color w:val="000000"/>
          <w:sz w:val="18"/>
          <w:szCs w:val="18"/>
        </w:rPr>
        <w:t xml:space="preserve"> 6736 Sayılı Kanun kapsamında  ödemeyi kabul ediyorum.</w:t>
      </w:r>
    </w:p>
    <w:p w:rsidR="00C33499" w:rsidRDefault="00C33499" w:rsidP="00C33499">
      <w:pPr>
        <w:spacing w:line="240" w:lineRule="exact"/>
        <w:ind w:firstLine="340"/>
        <w:jc w:val="both"/>
        <w:rPr>
          <w:rFonts w:ascii="Arial" w:eastAsia="Times New Roman" w:hAnsi="Arial" w:cs="Arial"/>
          <w:color w:val="000000"/>
          <w:sz w:val="18"/>
          <w:szCs w:val="18"/>
        </w:rPr>
      </w:pPr>
      <w:r>
        <w:rPr>
          <w:rFonts w:ascii="Arial" w:eastAsia="Times New Roman" w:hAnsi="Arial" w:cs="Arial"/>
          <w:color w:val="000000"/>
          <w:sz w:val="18"/>
          <w:szCs w:val="18"/>
        </w:rPr>
        <w:t xml:space="preserve">                                                                                                                                                 İmza</w:t>
      </w:r>
    </w:p>
    <w:p w:rsidR="00C33499" w:rsidRDefault="00C33499" w:rsidP="00C33499">
      <w:pPr>
        <w:spacing w:line="240" w:lineRule="exact"/>
        <w:ind w:firstLine="340"/>
        <w:jc w:val="both"/>
        <w:rPr>
          <w:rFonts w:ascii="Arial" w:eastAsia="Times New Roman" w:hAnsi="Arial" w:cs="Arial"/>
          <w:color w:val="000000"/>
          <w:sz w:val="18"/>
          <w:szCs w:val="18"/>
        </w:rPr>
      </w:pPr>
      <w:r>
        <w:rPr>
          <w:rFonts w:ascii="Arial" w:eastAsia="Times New Roman" w:hAnsi="Arial" w:cs="Arial"/>
          <w:color w:val="000000"/>
          <w:sz w:val="18"/>
          <w:szCs w:val="18"/>
        </w:rPr>
        <w:t xml:space="preserve">                                                                                                             </w:t>
      </w:r>
      <w:r>
        <w:rPr>
          <w:rFonts w:ascii="Arial" w:eastAsia="Times New Roman" w:hAnsi="Arial" w:cs="Arial"/>
          <w:color w:val="000000"/>
          <w:sz w:val="18"/>
          <w:szCs w:val="18"/>
        </w:rPr>
        <w:tab/>
      </w:r>
      <w:r>
        <w:rPr>
          <w:rFonts w:ascii="Arial" w:eastAsia="Times New Roman" w:hAnsi="Arial" w:cs="Arial"/>
          <w:color w:val="000000"/>
          <w:sz w:val="18"/>
          <w:szCs w:val="18"/>
        </w:rPr>
        <w:tab/>
        <w:t xml:space="preserve">    </w:t>
      </w:r>
      <w:proofErr w:type="gramStart"/>
      <w:r>
        <w:rPr>
          <w:rFonts w:ascii="Arial" w:eastAsia="Times New Roman" w:hAnsi="Arial" w:cs="Arial"/>
          <w:color w:val="000000"/>
          <w:sz w:val="18"/>
          <w:szCs w:val="18"/>
        </w:rPr>
        <w:t>……</w:t>
      </w:r>
      <w:proofErr w:type="gramEnd"/>
      <w:r>
        <w:rPr>
          <w:rFonts w:ascii="Arial" w:eastAsia="Times New Roman" w:hAnsi="Arial" w:cs="Arial"/>
          <w:color w:val="000000"/>
          <w:sz w:val="18"/>
          <w:szCs w:val="18"/>
        </w:rPr>
        <w:t>/……/……</w:t>
      </w:r>
    </w:p>
    <w:p w:rsidR="008E3A05" w:rsidRDefault="001C6094"/>
    <w:sectPr w:rsidR="008E3A05" w:rsidSect="002F3A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3499"/>
    <w:rsid w:val="002340BD"/>
    <w:rsid w:val="002F3ACB"/>
    <w:rsid w:val="00A260D3"/>
    <w:rsid w:val="00C33499"/>
    <w:rsid w:val="00CD45A3"/>
    <w:rsid w:val="00ED0F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99"/>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33499"/>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C33499"/>
    <w:pPr>
      <w:tabs>
        <w:tab w:val="center" w:pos="4536"/>
        <w:tab w:val="right" w:pos="9072"/>
      </w:tabs>
      <w:spacing w:after="0" w:line="240" w:lineRule="auto"/>
    </w:pPr>
    <w:rPr>
      <w:rFonts w:eastAsiaTheme="minorHAnsi"/>
      <w:lang w:eastAsia="en-US"/>
    </w:rPr>
  </w:style>
  <w:style w:type="character" w:customStyle="1" w:styleId="stbilgiChar">
    <w:name w:val="Üstbilgi Char"/>
    <w:basedOn w:val="VarsaylanParagrafYazTipi"/>
    <w:link w:val="stbilgi"/>
    <w:uiPriority w:val="99"/>
    <w:rsid w:val="00C33499"/>
  </w:style>
  <w:style w:type="paragraph" w:styleId="BalonMetni">
    <w:name w:val="Balloon Text"/>
    <w:basedOn w:val="Normal"/>
    <w:link w:val="BalonMetniChar"/>
    <w:uiPriority w:val="99"/>
    <w:semiHidden/>
    <w:unhideWhenUsed/>
    <w:rsid w:val="00C334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3499"/>
    <w:rPr>
      <w:rFonts w:ascii="Tahoma" w:eastAsiaTheme="minorEastAsi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babayiğit</dc:creator>
  <cp:lastModifiedBy>gülay babayiğit</cp:lastModifiedBy>
  <cp:revision>2</cp:revision>
  <cp:lastPrinted>2016-08-31T09:57:00Z</cp:lastPrinted>
  <dcterms:created xsi:type="dcterms:W3CDTF">2016-08-31T09:54:00Z</dcterms:created>
  <dcterms:modified xsi:type="dcterms:W3CDTF">2016-08-31T09:57:00Z</dcterms:modified>
</cp:coreProperties>
</file>