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E9F" w:rsidRPr="00ED1304" w:rsidRDefault="00117E9F" w:rsidP="003B27B8">
      <w:pPr>
        <w:spacing w:before="120" w:after="120"/>
        <w:rPr>
          <w:noProof/>
          <w:lang w:val="en-US"/>
        </w:rPr>
      </w:pPr>
      <w:r>
        <w:rPr>
          <w:rFonts w:ascii="Times New Roman" w:hAnsi="Times New Roman"/>
          <w:b/>
          <w:sz w:val="24"/>
          <w:szCs w:val="24"/>
        </w:rPr>
        <w:t>EK</w:t>
      </w:r>
      <w:r w:rsidRPr="00ED1304">
        <w:rPr>
          <w:noProof/>
          <w:lang w:val="en-US"/>
        </w:rPr>
        <w:t xml:space="preserve">              </w:t>
      </w:r>
    </w:p>
    <w:p w:rsidR="00117E9F" w:rsidRPr="00ED1304" w:rsidRDefault="00117E9F" w:rsidP="003B27B8">
      <w:pPr>
        <w:spacing w:before="120" w:after="120"/>
        <w:rPr>
          <w:noProof/>
          <w:lang w:val="en-US"/>
        </w:rPr>
      </w:pPr>
      <w:r w:rsidRPr="00ED1304">
        <w:rPr>
          <w:noProof/>
          <w:lang w:val="en-US"/>
        </w:rPr>
        <w:t xml:space="preserve">                                                                               </w:t>
      </w:r>
    </w:p>
    <w:tbl>
      <w:tblPr>
        <w:tblpPr w:leftFromText="180" w:rightFromText="180" w:bottomFromText="200" w:vertAnchor="text" w:horzAnchor="margin" w:tblpY="2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117E9F" w:rsidRPr="00ED1E2A" w:rsidTr="00185788">
        <w:tc>
          <w:tcPr>
            <w:tcW w:w="9288" w:type="dxa"/>
            <w:shd w:val="clear" w:color="auto" w:fill="595959"/>
            <w:vAlign w:val="center"/>
          </w:tcPr>
          <w:p w:rsidR="00117E9F" w:rsidRPr="00ED1304" w:rsidRDefault="00117E9F" w:rsidP="00185788">
            <w:pPr>
              <w:spacing w:before="120" w:after="120"/>
              <w:jc w:val="center"/>
              <w:rPr>
                <w:rFonts w:ascii="Times New Roman" w:hAnsi="Times New Roman"/>
                <w:b/>
                <w:color w:val="FFFFFF"/>
                <w:sz w:val="24"/>
                <w:szCs w:val="24"/>
              </w:rPr>
            </w:pPr>
          </w:p>
          <w:p w:rsidR="00117E9F" w:rsidRPr="00ED1304" w:rsidRDefault="00117E9F" w:rsidP="00185788">
            <w:pPr>
              <w:spacing w:before="120" w:after="120"/>
              <w:jc w:val="center"/>
              <w:rPr>
                <w:rFonts w:ascii="Times New Roman" w:hAnsi="Times New Roman"/>
                <w:b/>
                <w:color w:val="FFFFFF"/>
                <w:sz w:val="24"/>
                <w:szCs w:val="24"/>
              </w:rPr>
            </w:pPr>
            <w:r w:rsidRPr="00ED1304">
              <w:rPr>
                <w:rFonts w:ascii="Times New Roman" w:hAnsi="Times New Roman"/>
                <w:b/>
                <w:color w:val="FFFFFF"/>
                <w:sz w:val="24"/>
                <w:szCs w:val="24"/>
              </w:rPr>
              <w:t>TÜRKİYE DENETİM STANDARTLARI</w:t>
            </w:r>
          </w:p>
          <w:p w:rsidR="00117E9F" w:rsidRPr="00ED1304" w:rsidRDefault="00117E9F" w:rsidP="00185788">
            <w:pPr>
              <w:spacing w:before="120" w:after="120"/>
              <w:jc w:val="center"/>
              <w:rPr>
                <w:rFonts w:ascii="Times New Roman" w:hAnsi="Times New Roman"/>
                <w:b/>
                <w:sz w:val="24"/>
                <w:szCs w:val="24"/>
              </w:rPr>
            </w:pPr>
          </w:p>
        </w:tc>
      </w:tr>
    </w:tbl>
    <w:p w:rsidR="00117E9F" w:rsidRDefault="00117E9F" w:rsidP="003B27B8">
      <w:pPr>
        <w:spacing w:before="120" w:after="120"/>
        <w:jc w:val="center"/>
        <w:rPr>
          <w:rFonts w:ascii="Times New Roman" w:hAnsi="Times New Roman"/>
          <w:b/>
          <w:sz w:val="24"/>
          <w:szCs w:val="24"/>
        </w:rPr>
      </w:pPr>
    </w:p>
    <w:tbl>
      <w:tblPr>
        <w:tblpPr w:leftFromText="180" w:rightFromText="180" w:vertAnchor="text" w:horzAnchor="margin" w:tblpX="1175" w:tblpY="342"/>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7122"/>
      </w:tblGrid>
      <w:tr w:rsidR="00117E9F" w:rsidRPr="00ED1E2A" w:rsidTr="00185788">
        <w:tc>
          <w:tcPr>
            <w:tcW w:w="7122" w:type="dxa"/>
          </w:tcPr>
          <w:p w:rsidR="00117E9F" w:rsidRPr="00ED1E2A" w:rsidRDefault="00117E9F" w:rsidP="00E02A64">
            <w:pPr>
              <w:spacing w:before="120" w:after="120"/>
              <w:jc w:val="center"/>
              <w:rPr>
                <w:rFonts w:ascii="Times New Roman" w:hAnsi="Times New Roman"/>
                <w:lang w:val="en-US"/>
              </w:rPr>
            </w:pPr>
            <w:r w:rsidRPr="00ED1E2A">
              <w:rPr>
                <w:rFonts w:ascii="Times New Roman" w:hAnsi="Times New Roman"/>
                <w:b/>
                <w:sz w:val="24"/>
                <w:szCs w:val="24"/>
              </w:rPr>
              <w:t xml:space="preserve">GÜVENCE DENETİMİ STANDARDI 3400 </w:t>
            </w:r>
          </w:p>
        </w:tc>
      </w:tr>
    </w:tbl>
    <w:p w:rsidR="00117E9F" w:rsidRDefault="00117E9F" w:rsidP="003B27B8">
      <w:pPr>
        <w:spacing w:before="120" w:after="120"/>
        <w:jc w:val="center"/>
        <w:rPr>
          <w:rFonts w:ascii="Times New Roman" w:hAnsi="Times New Roman"/>
          <w:b/>
          <w:sz w:val="24"/>
          <w:szCs w:val="24"/>
        </w:rPr>
      </w:pPr>
    </w:p>
    <w:p w:rsidR="00117E9F" w:rsidRDefault="00117E9F" w:rsidP="003B27B8">
      <w:pPr>
        <w:spacing w:before="120" w:after="120"/>
        <w:jc w:val="center"/>
        <w:rPr>
          <w:rFonts w:ascii="Times New Roman" w:hAnsi="Times New Roman"/>
          <w:b/>
          <w:sz w:val="24"/>
          <w:szCs w:val="24"/>
        </w:rPr>
      </w:pPr>
    </w:p>
    <w:p w:rsidR="00117E9F" w:rsidRDefault="00117E9F" w:rsidP="003B27B8">
      <w:pPr>
        <w:spacing w:before="120" w:after="120"/>
        <w:jc w:val="center"/>
        <w:rPr>
          <w:rFonts w:ascii="Times New Roman" w:hAnsi="Times New Roman"/>
          <w:b/>
          <w:sz w:val="24"/>
          <w:szCs w:val="24"/>
        </w:rPr>
      </w:pPr>
    </w:p>
    <w:p w:rsidR="00117E9F" w:rsidRDefault="00117E9F" w:rsidP="003B27B8">
      <w:pPr>
        <w:spacing w:before="120" w:after="120"/>
        <w:jc w:val="center"/>
        <w:rPr>
          <w:rFonts w:ascii="Times New Roman" w:hAnsi="Times New Roman"/>
          <w:b/>
          <w:sz w:val="24"/>
          <w:szCs w:val="24"/>
        </w:rPr>
      </w:pPr>
    </w:p>
    <w:p w:rsidR="00117E9F" w:rsidRPr="007362E5" w:rsidRDefault="00117E9F" w:rsidP="007362E5">
      <w:pPr>
        <w:spacing w:before="120" w:after="120"/>
        <w:jc w:val="center"/>
        <w:rPr>
          <w:rFonts w:ascii="Times New Roman" w:hAnsi="Times New Roman"/>
          <w:b/>
          <w:i/>
          <w:sz w:val="24"/>
          <w:szCs w:val="24"/>
        </w:rPr>
      </w:pPr>
      <w:r w:rsidRPr="007362E5">
        <w:rPr>
          <w:rFonts w:ascii="Times New Roman" w:hAnsi="Times New Roman"/>
          <w:b/>
          <w:i/>
          <w:sz w:val="24"/>
          <w:szCs w:val="24"/>
        </w:rPr>
        <w:t>İLERİYE YÖNELİK FİNANSAL BİLGİLERİN İNCELENMESİ</w:t>
      </w:r>
    </w:p>
    <w:p w:rsidR="00117E9F" w:rsidRDefault="00117E9F" w:rsidP="003B27B8">
      <w:pPr>
        <w:spacing w:after="0" w:line="240" w:lineRule="auto"/>
        <w:ind w:firstLine="708"/>
        <w:rPr>
          <w:rFonts w:ascii="Times New Roman" w:hAnsi="Times New Roman"/>
          <w:sz w:val="24"/>
          <w:szCs w:val="24"/>
          <w:u w:val="single"/>
          <w:lang w:eastAsia="tr-TR"/>
        </w:rPr>
      </w:pPr>
      <w:r w:rsidRPr="00C624F0">
        <w:rPr>
          <w:rFonts w:ascii="Times New Roman" w:hAnsi="Times New Roman"/>
          <w:sz w:val="24"/>
          <w:szCs w:val="24"/>
        </w:rPr>
        <w:br w:type="page"/>
      </w:r>
    </w:p>
    <w:p w:rsidR="00117E9F" w:rsidRPr="001A7055" w:rsidRDefault="00117E9F" w:rsidP="008A2AA9">
      <w:pPr>
        <w:spacing w:before="120" w:after="120"/>
        <w:jc w:val="center"/>
        <w:rPr>
          <w:rFonts w:ascii="Times New Roman" w:hAnsi="Times New Roman"/>
          <w:b/>
          <w:sz w:val="28"/>
          <w:szCs w:val="28"/>
        </w:rPr>
      </w:pPr>
      <w:r w:rsidRPr="001A7055">
        <w:rPr>
          <w:rFonts w:ascii="Times New Roman" w:hAnsi="Times New Roman"/>
          <w:b/>
          <w:sz w:val="28"/>
          <w:szCs w:val="28"/>
        </w:rPr>
        <w:t>GÜVENCE DENETİM</w:t>
      </w:r>
      <w:r>
        <w:rPr>
          <w:rFonts w:ascii="Times New Roman" w:hAnsi="Times New Roman"/>
          <w:b/>
          <w:sz w:val="28"/>
          <w:szCs w:val="28"/>
        </w:rPr>
        <w:t>İ</w:t>
      </w:r>
      <w:r w:rsidRPr="001A7055">
        <w:rPr>
          <w:rFonts w:ascii="Times New Roman" w:hAnsi="Times New Roman"/>
          <w:b/>
          <w:sz w:val="28"/>
          <w:szCs w:val="28"/>
        </w:rPr>
        <w:t xml:space="preserve"> STANDARDI 3400</w:t>
      </w:r>
    </w:p>
    <w:p w:rsidR="00117E9F" w:rsidRPr="001A7055" w:rsidRDefault="00117E9F" w:rsidP="008A2AA9">
      <w:pPr>
        <w:spacing w:before="120" w:after="120"/>
        <w:jc w:val="center"/>
        <w:rPr>
          <w:rFonts w:ascii="Times New Roman" w:hAnsi="Times New Roman"/>
          <w:b/>
          <w:sz w:val="28"/>
          <w:szCs w:val="28"/>
        </w:rPr>
      </w:pPr>
      <w:r w:rsidRPr="001A7055">
        <w:rPr>
          <w:rFonts w:ascii="Times New Roman" w:hAnsi="Times New Roman"/>
          <w:b/>
          <w:sz w:val="28"/>
          <w:szCs w:val="28"/>
        </w:rPr>
        <w:t>İLERİYE YÖNELİK FİNANSAL BİLGİLERİN İNCELENMESİ</w:t>
      </w:r>
    </w:p>
    <w:p w:rsidR="00117E9F" w:rsidRPr="001A7055" w:rsidRDefault="00117E9F" w:rsidP="008A2AA9">
      <w:pPr>
        <w:spacing w:before="120" w:after="120"/>
        <w:jc w:val="center"/>
        <w:rPr>
          <w:rFonts w:ascii="Times New Roman" w:hAnsi="Times New Roman"/>
          <w:sz w:val="24"/>
          <w:szCs w:val="24"/>
        </w:rPr>
      </w:pPr>
      <w:r>
        <w:rPr>
          <w:noProof/>
          <w:lang w:eastAsia="tr-TR"/>
        </w:rPr>
        <w:pict>
          <v:line id="Düz Bağlayıcı 1" o:spid="_x0000_s1026" style="position:absolute;left:0;text-align:left;z-index:251658240;visibility:visible;mso-wrap-distance-top:-1e-4mm;mso-wrap-distance-bottom:-1e-4mm" from="-2.7pt,19.25pt" to="452.9pt,19.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" strokeweight="1.5pt">
            <o:lock v:ext="edit" shapetype="f"/>
          </v:line>
        </w:pict>
      </w:r>
      <w:r w:rsidRPr="001A7055">
        <w:rPr>
          <w:rFonts w:ascii="Times New Roman" w:hAnsi="Times New Roman"/>
          <w:b/>
          <w:sz w:val="24"/>
          <w:szCs w:val="24"/>
        </w:rPr>
        <w:t>İÇİNDEKİLER</w:t>
      </w:r>
    </w:p>
    <w:p w:rsidR="00117E9F" w:rsidRPr="001A7055" w:rsidRDefault="00117E9F" w:rsidP="008A2AA9">
      <w:pPr>
        <w:spacing w:before="120" w:after="120"/>
        <w:jc w:val="right"/>
        <w:rPr>
          <w:rFonts w:ascii="Times New Roman" w:hAnsi="Times New Roman"/>
          <w:b/>
          <w:sz w:val="24"/>
          <w:szCs w:val="24"/>
        </w:rPr>
      </w:pPr>
      <w:r w:rsidRPr="001A7055">
        <w:rPr>
          <w:rFonts w:ascii="Times New Roman" w:hAnsi="Times New Roman"/>
          <w:sz w:val="24"/>
          <w:szCs w:val="24"/>
        </w:rPr>
        <w:t>Paragraf</w:t>
      </w:r>
    </w:p>
    <w:p w:rsidR="00117E9F" w:rsidRPr="001A7055" w:rsidRDefault="00117E9F" w:rsidP="008A2AA9">
      <w:pPr>
        <w:spacing w:before="120" w:after="120"/>
        <w:jc w:val="both"/>
        <w:rPr>
          <w:rFonts w:ascii="Times New Roman" w:hAnsi="Times New Roman"/>
        </w:rPr>
      </w:pPr>
      <w:r w:rsidRPr="001A7055">
        <w:rPr>
          <w:rFonts w:ascii="Times New Roman" w:hAnsi="Times New Roman"/>
        </w:rPr>
        <w:t>Giriş…………………….</w:t>
      </w:r>
      <w:r w:rsidRPr="001A7055">
        <w:rPr>
          <w:rFonts w:ascii="Times New Roman" w:hAnsi="Times New Roman"/>
          <w:sz w:val="24"/>
          <w:szCs w:val="24"/>
        </w:rPr>
        <w:t>……....................................................................................................1-7</w:t>
      </w:r>
    </w:p>
    <w:p w:rsidR="00117E9F" w:rsidRPr="001A7055" w:rsidRDefault="00117E9F" w:rsidP="008A2AA9">
      <w:pPr>
        <w:spacing w:before="120" w:after="120"/>
        <w:jc w:val="both"/>
        <w:rPr>
          <w:rFonts w:ascii="Times New Roman" w:hAnsi="Times New Roman"/>
          <w:sz w:val="24"/>
          <w:szCs w:val="24"/>
        </w:rPr>
      </w:pPr>
      <w:r w:rsidRPr="001A7055">
        <w:rPr>
          <w:rFonts w:ascii="Times New Roman" w:hAnsi="Times New Roman"/>
        </w:rPr>
        <w:t>İleriye Yönelik Finansal Bilgilere İlişkin Denetçi Tarafından Verilen Güvence</w:t>
      </w:r>
      <w:r w:rsidRPr="001A7055">
        <w:rPr>
          <w:rFonts w:ascii="Times New Roman" w:hAnsi="Times New Roman"/>
          <w:sz w:val="24"/>
          <w:szCs w:val="24"/>
        </w:rPr>
        <w:t>..............................8-9</w:t>
      </w:r>
    </w:p>
    <w:p w:rsidR="00117E9F" w:rsidRPr="001A7055" w:rsidRDefault="00117E9F" w:rsidP="008A2AA9">
      <w:pPr>
        <w:spacing w:before="120" w:after="120"/>
        <w:jc w:val="both"/>
        <w:rPr>
          <w:rFonts w:ascii="Times New Roman" w:hAnsi="Times New Roman"/>
        </w:rPr>
      </w:pPr>
      <w:r w:rsidRPr="001A7055">
        <w:rPr>
          <w:rFonts w:ascii="Times New Roman" w:hAnsi="Times New Roman"/>
        </w:rPr>
        <w:t>Denetimin Kabulü…</w:t>
      </w:r>
      <w:r w:rsidRPr="001A7055">
        <w:rPr>
          <w:rFonts w:ascii="Times New Roman" w:hAnsi="Times New Roman"/>
          <w:sz w:val="24"/>
          <w:szCs w:val="24"/>
        </w:rPr>
        <w:t>………………………………...............................................................10-12</w:t>
      </w:r>
    </w:p>
    <w:p w:rsidR="00117E9F" w:rsidRPr="001A7055" w:rsidRDefault="00117E9F" w:rsidP="008A2AA9">
      <w:pPr>
        <w:spacing w:before="120" w:after="120"/>
        <w:jc w:val="both"/>
        <w:rPr>
          <w:rFonts w:ascii="Times New Roman" w:hAnsi="Times New Roman"/>
          <w:sz w:val="24"/>
          <w:szCs w:val="24"/>
        </w:rPr>
      </w:pPr>
      <w:r w:rsidRPr="000E7B2D">
        <w:rPr>
          <w:rFonts w:ascii="Times New Roman" w:hAnsi="Times New Roman"/>
        </w:rPr>
        <w:t>İşe İlişkin Bilgi</w:t>
      </w:r>
      <w:r>
        <w:rPr>
          <w:rFonts w:ascii="Times New Roman" w:hAnsi="Times New Roman"/>
        </w:rPr>
        <w:t>……</w:t>
      </w:r>
      <w:r w:rsidRPr="001A7055">
        <w:rPr>
          <w:rFonts w:ascii="Times New Roman" w:hAnsi="Times New Roman"/>
          <w:sz w:val="24"/>
          <w:szCs w:val="24"/>
        </w:rPr>
        <w:t>…………………………....................................................................</w:t>
      </w:r>
      <w:r>
        <w:rPr>
          <w:rFonts w:ascii="Times New Roman" w:hAnsi="Times New Roman"/>
          <w:sz w:val="24"/>
          <w:szCs w:val="24"/>
        </w:rPr>
        <w:t>...</w:t>
      </w:r>
      <w:r w:rsidRPr="001A7055">
        <w:rPr>
          <w:rFonts w:ascii="Times New Roman" w:hAnsi="Times New Roman"/>
          <w:sz w:val="24"/>
          <w:szCs w:val="24"/>
        </w:rPr>
        <w:t>13-15</w:t>
      </w:r>
    </w:p>
    <w:p w:rsidR="00117E9F" w:rsidRPr="001A7055" w:rsidRDefault="00117E9F" w:rsidP="008A2AA9">
      <w:pPr>
        <w:spacing w:before="120" w:after="120"/>
        <w:rPr>
          <w:rFonts w:ascii="Times New Roman" w:hAnsi="Times New Roman"/>
          <w:sz w:val="24"/>
          <w:szCs w:val="24"/>
        </w:rPr>
      </w:pPr>
      <w:r w:rsidRPr="001A7055">
        <w:rPr>
          <w:rFonts w:ascii="Times New Roman" w:hAnsi="Times New Roman"/>
        </w:rPr>
        <w:t>Kapsanan Dönem</w:t>
      </w:r>
      <w:r w:rsidRPr="001A7055">
        <w:rPr>
          <w:rFonts w:ascii="Times New Roman" w:hAnsi="Times New Roman"/>
          <w:sz w:val="24"/>
          <w:szCs w:val="24"/>
        </w:rPr>
        <w:t xml:space="preserve"> …………………….…………………….......................................................16</w:t>
      </w:r>
    </w:p>
    <w:p w:rsidR="00117E9F" w:rsidRPr="001A7055" w:rsidRDefault="00117E9F" w:rsidP="008A2AA9">
      <w:pPr>
        <w:spacing w:before="120" w:after="120"/>
        <w:jc w:val="both"/>
        <w:rPr>
          <w:rFonts w:ascii="Times New Roman" w:hAnsi="Times New Roman"/>
        </w:rPr>
      </w:pPr>
      <w:r w:rsidRPr="001A7055">
        <w:rPr>
          <w:rFonts w:ascii="Times New Roman" w:hAnsi="Times New Roman"/>
        </w:rPr>
        <w:t>İnceleme Prosedürleri</w:t>
      </w:r>
      <w:r w:rsidRPr="001A7055">
        <w:rPr>
          <w:rFonts w:ascii="Times New Roman" w:hAnsi="Times New Roman"/>
          <w:sz w:val="24"/>
          <w:szCs w:val="24"/>
        </w:rPr>
        <w:t>………….............................................................................................17-25</w:t>
      </w:r>
    </w:p>
    <w:p w:rsidR="00117E9F" w:rsidRPr="001A7055" w:rsidRDefault="00117E9F" w:rsidP="008A2AA9">
      <w:pPr>
        <w:spacing w:before="120" w:after="120"/>
        <w:jc w:val="both"/>
        <w:rPr>
          <w:rFonts w:ascii="Times New Roman" w:hAnsi="Times New Roman"/>
        </w:rPr>
      </w:pPr>
      <w:r w:rsidRPr="001A7055">
        <w:rPr>
          <w:rFonts w:ascii="Times New Roman" w:hAnsi="Times New Roman"/>
        </w:rPr>
        <w:t>Sunum ve Açıklama …………………………………</w:t>
      </w:r>
      <w:r w:rsidRPr="001A7055">
        <w:rPr>
          <w:rFonts w:ascii="Times New Roman" w:hAnsi="Times New Roman"/>
          <w:sz w:val="24"/>
          <w:szCs w:val="24"/>
        </w:rPr>
        <w:t>....................................................................26</w:t>
      </w:r>
    </w:p>
    <w:p w:rsidR="00117E9F" w:rsidRPr="001A7055" w:rsidRDefault="00117E9F" w:rsidP="008A2AA9">
      <w:pPr>
        <w:spacing w:before="120" w:after="120"/>
        <w:jc w:val="both"/>
        <w:rPr>
          <w:rFonts w:ascii="Times New Roman" w:hAnsi="Times New Roman"/>
        </w:rPr>
      </w:pPr>
      <w:r w:rsidRPr="001A7055">
        <w:rPr>
          <w:rFonts w:ascii="Times New Roman" w:hAnsi="Times New Roman"/>
        </w:rPr>
        <w:t>İleriye Yönelik Finansal Bilgilerin İncelenmesine İlişkin  Rapor</w:t>
      </w:r>
      <w:r w:rsidRPr="001A7055">
        <w:rPr>
          <w:rFonts w:ascii="Times New Roman" w:hAnsi="Times New Roman"/>
          <w:sz w:val="24"/>
          <w:szCs w:val="24"/>
        </w:rPr>
        <w:t>..............................................27-3</w:t>
      </w:r>
      <w:r>
        <w:rPr>
          <w:rFonts w:ascii="Times New Roman" w:hAnsi="Times New Roman"/>
          <w:sz w:val="24"/>
          <w:szCs w:val="24"/>
        </w:rPr>
        <w:t>2</w:t>
      </w:r>
    </w:p>
    <w:p w:rsidR="00117E9F" w:rsidRPr="001A7055" w:rsidRDefault="00117E9F" w:rsidP="008A2AA9">
      <w:pPr>
        <w:pBdr>
          <w:bottom w:val="single" w:sz="4" w:space="1" w:color="auto"/>
        </w:pBdr>
        <w:spacing w:before="120" w:after="120"/>
        <w:rPr>
          <w:rFonts w:ascii="Times New Roman" w:hAnsi="Times New Roman"/>
          <w:sz w:val="24"/>
          <w:szCs w:val="24"/>
        </w:rPr>
      </w:pPr>
    </w:p>
    <w:p w:rsidR="00117E9F" w:rsidRPr="001A7055" w:rsidRDefault="00117E9F" w:rsidP="008A2AA9">
      <w:pPr>
        <w:spacing w:before="120" w:after="120"/>
        <w:rPr>
          <w:rFonts w:ascii="Times New Roman" w:hAnsi="Times New Roman"/>
          <w:sz w:val="24"/>
          <w:szCs w:val="24"/>
        </w:rPr>
      </w:pPr>
    </w:p>
    <w:p w:rsidR="00117E9F" w:rsidRPr="001A7055" w:rsidRDefault="00117E9F" w:rsidP="008A2AA9">
      <w:pPr>
        <w:spacing w:before="120" w:after="120"/>
        <w:jc w:val="both"/>
        <w:rPr>
          <w:rFonts w:ascii="Times New Roman" w:hAnsi="Times New Roman"/>
          <w:b/>
          <w:sz w:val="27"/>
          <w:szCs w:val="27"/>
        </w:rPr>
      </w:pPr>
    </w:p>
    <w:p w:rsidR="00117E9F" w:rsidRPr="001A7055" w:rsidRDefault="00117E9F" w:rsidP="008A2AA9">
      <w:pPr>
        <w:spacing w:before="120" w:after="120"/>
        <w:jc w:val="both"/>
        <w:rPr>
          <w:rFonts w:ascii="Times New Roman" w:hAnsi="Times New Roman"/>
          <w:b/>
          <w:sz w:val="27"/>
          <w:szCs w:val="27"/>
        </w:rPr>
      </w:pPr>
    </w:p>
    <w:p w:rsidR="00117E9F" w:rsidRPr="001A7055" w:rsidRDefault="00117E9F" w:rsidP="008A2AA9">
      <w:pPr>
        <w:spacing w:before="120" w:after="120"/>
        <w:jc w:val="both"/>
        <w:rPr>
          <w:rFonts w:ascii="Times New Roman" w:hAnsi="Times New Roman"/>
        </w:rPr>
      </w:pPr>
    </w:p>
    <w:p w:rsidR="00117E9F" w:rsidRPr="001A7055" w:rsidRDefault="00117E9F" w:rsidP="008A2AA9">
      <w:pPr>
        <w:spacing w:before="120" w:after="120"/>
        <w:jc w:val="both"/>
        <w:rPr>
          <w:rFonts w:ascii="Times New Roman" w:hAnsi="Times New Roman"/>
        </w:rPr>
      </w:pPr>
    </w:p>
    <w:p w:rsidR="00117E9F" w:rsidRPr="001A7055" w:rsidRDefault="00117E9F" w:rsidP="008A2AA9">
      <w:pPr>
        <w:spacing w:before="120" w:after="120"/>
        <w:jc w:val="both"/>
        <w:rPr>
          <w:rFonts w:ascii="Times New Roman" w:hAnsi="Times New Roman"/>
        </w:rPr>
      </w:pPr>
    </w:p>
    <w:p w:rsidR="00117E9F" w:rsidRPr="001A7055" w:rsidRDefault="00117E9F" w:rsidP="008A2AA9">
      <w:pPr>
        <w:spacing w:before="120" w:after="120"/>
        <w:jc w:val="both"/>
        <w:rPr>
          <w:rFonts w:ascii="Times New Roman" w:hAnsi="Times New Roman"/>
        </w:rPr>
      </w:pPr>
    </w:p>
    <w:p w:rsidR="00117E9F" w:rsidRPr="001A7055" w:rsidRDefault="00117E9F" w:rsidP="008A2AA9">
      <w:pPr>
        <w:spacing w:before="120" w:after="120"/>
        <w:jc w:val="both"/>
        <w:rPr>
          <w:rFonts w:ascii="Times New Roman" w:hAnsi="Times New Roman"/>
        </w:rPr>
      </w:pPr>
    </w:p>
    <w:p w:rsidR="00117E9F" w:rsidRPr="001A7055" w:rsidRDefault="00117E9F" w:rsidP="008A2AA9">
      <w:pPr>
        <w:spacing w:before="120" w:after="120"/>
        <w:jc w:val="both"/>
        <w:rPr>
          <w:rFonts w:ascii="Times New Roman" w:hAnsi="Times New Roman"/>
        </w:rPr>
      </w:pPr>
    </w:p>
    <w:p w:rsidR="00117E9F" w:rsidRPr="001A7055" w:rsidRDefault="00117E9F" w:rsidP="008A2AA9">
      <w:pPr>
        <w:spacing w:before="120" w:after="120"/>
        <w:jc w:val="both"/>
        <w:rPr>
          <w:rFonts w:ascii="Times New Roman" w:hAnsi="Times New Roman"/>
        </w:rPr>
      </w:pPr>
      <w:r w:rsidRPr="001A7055">
        <w:rPr>
          <w:rFonts w:ascii="Times New Roman" w:hAnsi="Times New Roman"/>
        </w:rPr>
        <w:tab/>
      </w:r>
      <w:r w:rsidRPr="001A7055">
        <w:rPr>
          <w:rFonts w:ascii="Times New Roman" w:hAnsi="Times New Roman"/>
        </w:rPr>
        <w:tab/>
      </w:r>
      <w:r w:rsidRPr="001A7055">
        <w:rPr>
          <w:rFonts w:ascii="Times New Roman" w:hAnsi="Times New Roman"/>
        </w:rPr>
        <w:tab/>
      </w:r>
    </w:p>
    <w:p w:rsidR="00117E9F" w:rsidRPr="001A7055" w:rsidRDefault="00117E9F" w:rsidP="008A2AA9">
      <w:pPr>
        <w:spacing w:before="120" w:after="120"/>
        <w:jc w:val="both"/>
        <w:rPr>
          <w:rFonts w:ascii="Times New Roman" w:hAnsi="Times New Roman"/>
          <w:b/>
          <w:sz w:val="24"/>
          <w:szCs w:val="24"/>
        </w:rPr>
      </w:pPr>
      <w:r w:rsidRPr="001A7055">
        <w:rPr>
          <w:rFonts w:ascii="Times New Roman" w:hAnsi="Times New Roman"/>
          <w:b/>
          <w:sz w:val="24"/>
          <w:szCs w:val="24"/>
        </w:rPr>
        <w:br w:type="page"/>
      </w:r>
    </w:p>
    <w:p w:rsidR="00117E9F" w:rsidRPr="001A7055" w:rsidRDefault="00117E9F" w:rsidP="008A2AA9">
      <w:pPr>
        <w:spacing w:before="120" w:after="120"/>
        <w:jc w:val="both"/>
        <w:rPr>
          <w:rFonts w:ascii="Times New Roman" w:hAnsi="Times New Roman"/>
          <w:b/>
          <w:sz w:val="28"/>
          <w:szCs w:val="28"/>
        </w:rPr>
      </w:pPr>
      <w:r w:rsidRPr="001A7055">
        <w:rPr>
          <w:rFonts w:ascii="Times New Roman" w:hAnsi="Times New Roman"/>
          <w:b/>
          <w:sz w:val="28"/>
          <w:szCs w:val="28"/>
        </w:rPr>
        <w:t>Giriş</w:t>
      </w:r>
    </w:p>
    <w:p w:rsidR="00117E9F" w:rsidRPr="001A7055" w:rsidRDefault="00117E9F" w:rsidP="008A2AA9">
      <w:pPr>
        <w:pStyle w:val="ListParagraph"/>
        <w:numPr>
          <w:ilvl w:val="0"/>
          <w:numId w:val="1"/>
        </w:numPr>
        <w:spacing w:before="120" w:after="120"/>
        <w:contextualSpacing w:val="0"/>
        <w:jc w:val="both"/>
        <w:rPr>
          <w:rFonts w:ascii="Times New Roman" w:hAnsi="Times New Roman"/>
          <w:sz w:val="24"/>
          <w:szCs w:val="24"/>
        </w:rPr>
      </w:pPr>
      <w:r w:rsidRPr="001A7055">
        <w:rPr>
          <w:rFonts w:ascii="Times New Roman" w:hAnsi="Times New Roman"/>
          <w:sz w:val="24"/>
          <w:szCs w:val="24"/>
        </w:rPr>
        <w:t xml:space="preserve">Bu Güvence Denetimi Standardının (GDS) amacı, en iyi tahmine ve hipoteze dayalı varsayımlara yönelik inceleme prosedürleri de dâhil olmak üzere, ileriye yönelik finansal bilgilerin incelenmesine ve raporlanmasına </w:t>
      </w:r>
      <w:r>
        <w:rPr>
          <w:rFonts w:ascii="Times New Roman" w:hAnsi="Times New Roman"/>
          <w:sz w:val="24"/>
          <w:szCs w:val="24"/>
        </w:rPr>
        <w:t>ilişkin</w:t>
      </w:r>
      <w:r w:rsidRPr="001A7055">
        <w:rPr>
          <w:rFonts w:ascii="Times New Roman" w:hAnsi="Times New Roman"/>
          <w:sz w:val="24"/>
          <w:szCs w:val="24"/>
        </w:rPr>
        <w:t xml:space="preserve"> denetimler için standart belirlemek ve bu konularda rehberlik sağlamaktır. Bu Standart, yönetimin yıllık faaliyet raporundaki değerlendirme ve analizleri gibi genel veya </w:t>
      </w:r>
      <w:r>
        <w:rPr>
          <w:rFonts w:ascii="Times New Roman" w:hAnsi="Times New Roman"/>
          <w:sz w:val="24"/>
          <w:szCs w:val="24"/>
        </w:rPr>
        <w:t xml:space="preserve">metinsel </w:t>
      </w:r>
      <w:r w:rsidRPr="001A7055">
        <w:rPr>
          <w:rFonts w:ascii="Times New Roman" w:hAnsi="Times New Roman"/>
          <w:sz w:val="24"/>
          <w:szCs w:val="24"/>
        </w:rPr>
        <w:t>terimlerle ifade edilmiş ileriye yönelik finan</w:t>
      </w:r>
      <w:r>
        <w:rPr>
          <w:rFonts w:ascii="Times New Roman" w:hAnsi="Times New Roman"/>
          <w:sz w:val="24"/>
          <w:szCs w:val="24"/>
        </w:rPr>
        <w:t>sal bilgilerin incelenmesinde -</w:t>
      </w:r>
      <w:r w:rsidRPr="001A7055">
        <w:rPr>
          <w:rFonts w:ascii="Times New Roman" w:hAnsi="Times New Roman"/>
          <w:sz w:val="24"/>
          <w:szCs w:val="24"/>
        </w:rPr>
        <w:t>bu standartta belirtilen prosedürlerin</w:t>
      </w:r>
      <w:r>
        <w:rPr>
          <w:rFonts w:ascii="Times New Roman" w:hAnsi="Times New Roman"/>
          <w:sz w:val="24"/>
          <w:szCs w:val="24"/>
        </w:rPr>
        <w:t xml:space="preserve"> </w:t>
      </w:r>
      <w:r w:rsidRPr="001A7055">
        <w:rPr>
          <w:rFonts w:ascii="Times New Roman" w:hAnsi="Times New Roman"/>
          <w:sz w:val="24"/>
          <w:szCs w:val="24"/>
        </w:rPr>
        <w:t>çoğunun böyle bir inceleme için uygun olabilmesine rağmen- uygulanmaz.</w:t>
      </w:r>
    </w:p>
    <w:p w:rsidR="00117E9F" w:rsidRPr="001A7055" w:rsidRDefault="00117E9F" w:rsidP="008A2AA9">
      <w:pPr>
        <w:pStyle w:val="ListParagraph"/>
        <w:numPr>
          <w:ilvl w:val="0"/>
          <w:numId w:val="1"/>
        </w:numPr>
        <w:spacing w:before="120" w:after="120"/>
        <w:contextualSpacing w:val="0"/>
        <w:jc w:val="both"/>
        <w:rPr>
          <w:rFonts w:ascii="Times New Roman" w:hAnsi="Times New Roman"/>
          <w:b/>
          <w:sz w:val="24"/>
          <w:szCs w:val="24"/>
        </w:rPr>
      </w:pPr>
      <w:r w:rsidRPr="001A7055">
        <w:rPr>
          <w:rFonts w:ascii="Times New Roman" w:hAnsi="Times New Roman"/>
          <w:b/>
          <w:sz w:val="24"/>
          <w:szCs w:val="24"/>
        </w:rPr>
        <w:t>Denetçi, ileriye yönelik finansal bilgilerin incelenmesi denetiminde aşağıdaki hususlarla ilgili yeterli ve uygun kanıt elde eder:</w:t>
      </w:r>
    </w:p>
    <w:p w:rsidR="00117E9F" w:rsidRPr="001A7055" w:rsidRDefault="00117E9F" w:rsidP="008A2AA9">
      <w:pPr>
        <w:pStyle w:val="ListParagraph"/>
        <w:numPr>
          <w:ilvl w:val="0"/>
          <w:numId w:val="2"/>
        </w:numPr>
        <w:spacing w:before="120" w:after="120"/>
        <w:ind w:left="1276" w:hanging="567"/>
        <w:contextualSpacing w:val="0"/>
        <w:jc w:val="both"/>
        <w:rPr>
          <w:rFonts w:ascii="Times New Roman" w:hAnsi="Times New Roman"/>
          <w:b/>
          <w:sz w:val="24"/>
          <w:szCs w:val="24"/>
        </w:rPr>
      </w:pPr>
      <w:r w:rsidRPr="001A7055">
        <w:rPr>
          <w:rFonts w:ascii="Times New Roman" w:hAnsi="Times New Roman"/>
          <w:b/>
          <w:sz w:val="24"/>
          <w:szCs w:val="24"/>
        </w:rPr>
        <w:t xml:space="preserve">İleriye yönelik finansal bilgilerin </w:t>
      </w:r>
      <w:r w:rsidRPr="009D07F2">
        <w:rPr>
          <w:rFonts w:ascii="Times New Roman" w:hAnsi="Times New Roman"/>
          <w:b/>
          <w:sz w:val="24"/>
          <w:szCs w:val="24"/>
        </w:rPr>
        <w:t xml:space="preserve">dayandığı </w:t>
      </w:r>
      <w:r w:rsidRPr="001A7055">
        <w:rPr>
          <w:rFonts w:ascii="Times New Roman" w:hAnsi="Times New Roman"/>
          <w:b/>
          <w:sz w:val="24"/>
          <w:szCs w:val="24"/>
        </w:rPr>
        <w:t>yönetimin en iyi tahmine dayalı varsayımlarının makul olup olmadığı ve hipoteze dayalı varsayımların kullanılması durumunda, bu varsayımların bilginin amacıyla tutarlılık gösterip göstermediği,</w:t>
      </w:r>
    </w:p>
    <w:p w:rsidR="00117E9F" w:rsidRPr="001A7055" w:rsidRDefault="00117E9F" w:rsidP="008A2AA9">
      <w:pPr>
        <w:pStyle w:val="ListParagraph"/>
        <w:numPr>
          <w:ilvl w:val="0"/>
          <w:numId w:val="2"/>
        </w:numPr>
        <w:spacing w:before="120" w:after="120"/>
        <w:ind w:left="1276" w:hanging="567"/>
        <w:contextualSpacing w:val="0"/>
        <w:jc w:val="both"/>
        <w:rPr>
          <w:rFonts w:ascii="Times New Roman" w:hAnsi="Times New Roman"/>
          <w:b/>
          <w:sz w:val="24"/>
          <w:szCs w:val="24"/>
        </w:rPr>
      </w:pPr>
      <w:r w:rsidRPr="001A7055">
        <w:rPr>
          <w:rFonts w:ascii="Times New Roman" w:hAnsi="Times New Roman"/>
          <w:b/>
          <w:sz w:val="24"/>
          <w:szCs w:val="24"/>
        </w:rPr>
        <w:t xml:space="preserve">İleriye yönelik finansal bilgilerin varsayımlara uygun bir şekilde hazırlanıp hazırlanmadığı, </w:t>
      </w:r>
    </w:p>
    <w:p w:rsidR="00117E9F" w:rsidRPr="001A7055" w:rsidRDefault="00117E9F" w:rsidP="008A2AA9">
      <w:pPr>
        <w:pStyle w:val="ListParagraph"/>
        <w:numPr>
          <w:ilvl w:val="0"/>
          <w:numId w:val="2"/>
        </w:numPr>
        <w:spacing w:before="120" w:after="120"/>
        <w:ind w:left="1276" w:hanging="567"/>
        <w:contextualSpacing w:val="0"/>
        <w:jc w:val="both"/>
        <w:rPr>
          <w:rFonts w:ascii="Times New Roman" w:hAnsi="Times New Roman"/>
          <w:b/>
          <w:sz w:val="24"/>
          <w:szCs w:val="24"/>
        </w:rPr>
      </w:pPr>
      <w:r w:rsidRPr="001A7055">
        <w:rPr>
          <w:rFonts w:ascii="Times New Roman" w:hAnsi="Times New Roman"/>
          <w:b/>
          <w:sz w:val="24"/>
          <w:szCs w:val="24"/>
        </w:rPr>
        <w:t>İleriye yönelik finansal bilgilerin uygun bir şekilde sunulup sunulmadığı</w:t>
      </w:r>
      <w:r>
        <w:rPr>
          <w:rFonts w:ascii="Times New Roman" w:hAnsi="Times New Roman"/>
          <w:b/>
          <w:sz w:val="24"/>
          <w:szCs w:val="24"/>
        </w:rPr>
        <w:t xml:space="preserve"> ve tüm önemli varsayımlar</w:t>
      </w:r>
      <w:r w:rsidRPr="001A7055">
        <w:rPr>
          <w:rFonts w:ascii="Times New Roman" w:hAnsi="Times New Roman"/>
          <w:b/>
          <w:sz w:val="24"/>
          <w:szCs w:val="24"/>
        </w:rPr>
        <w:t xml:space="preserve"> </w:t>
      </w:r>
      <w:r>
        <w:rPr>
          <w:rFonts w:ascii="Times New Roman" w:hAnsi="Times New Roman"/>
          <w:b/>
          <w:sz w:val="24"/>
          <w:szCs w:val="24"/>
        </w:rPr>
        <w:t xml:space="preserve">hakkında </w:t>
      </w:r>
      <w:r w:rsidRPr="001A7055">
        <w:rPr>
          <w:rFonts w:ascii="Times New Roman" w:hAnsi="Times New Roman"/>
          <w:b/>
          <w:sz w:val="24"/>
          <w:szCs w:val="24"/>
        </w:rPr>
        <w:t>yeterince açıklama yapılıp yapılmadığı</w:t>
      </w:r>
      <w:r>
        <w:rPr>
          <w:rFonts w:ascii="Times New Roman" w:hAnsi="Times New Roman"/>
          <w:b/>
          <w:sz w:val="24"/>
          <w:szCs w:val="24"/>
        </w:rPr>
        <w:t xml:space="preserve"> (bunların </w:t>
      </w:r>
      <w:r w:rsidRPr="001A7055">
        <w:rPr>
          <w:rFonts w:ascii="Times New Roman" w:hAnsi="Times New Roman"/>
          <w:b/>
          <w:sz w:val="24"/>
          <w:szCs w:val="24"/>
        </w:rPr>
        <w:t xml:space="preserve">en iyi tahmine dayalı varsayımlar mı yoksa hipoteze dayalı varsayımlar mı olduğuna ilişkin açık bir </w:t>
      </w:r>
      <w:r>
        <w:rPr>
          <w:rFonts w:ascii="Times New Roman" w:hAnsi="Times New Roman"/>
          <w:b/>
          <w:sz w:val="24"/>
          <w:szCs w:val="24"/>
        </w:rPr>
        <w:t xml:space="preserve">ifade -belirtme- </w:t>
      </w:r>
      <w:r w:rsidRPr="001A7055">
        <w:rPr>
          <w:rFonts w:ascii="Times New Roman" w:hAnsi="Times New Roman"/>
          <w:b/>
          <w:sz w:val="24"/>
          <w:szCs w:val="24"/>
        </w:rPr>
        <w:t>de dâhil olmak üzere</w:t>
      </w:r>
      <w:r>
        <w:rPr>
          <w:rFonts w:ascii="Times New Roman" w:hAnsi="Times New Roman"/>
          <w:b/>
          <w:sz w:val="24"/>
          <w:szCs w:val="24"/>
        </w:rPr>
        <w:t>)</w:t>
      </w:r>
      <w:r w:rsidRPr="001A7055">
        <w:rPr>
          <w:rFonts w:ascii="Times New Roman" w:hAnsi="Times New Roman"/>
          <w:b/>
          <w:sz w:val="24"/>
          <w:szCs w:val="24"/>
        </w:rPr>
        <w:t xml:space="preserve"> ve</w:t>
      </w:r>
    </w:p>
    <w:p w:rsidR="00117E9F" w:rsidRPr="001A7055" w:rsidRDefault="00117E9F" w:rsidP="008A2AA9">
      <w:pPr>
        <w:pStyle w:val="ListParagraph"/>
        <w:numPr>
          <w:ilvl w:val="0"/>
          <w:numId w:val="2"/>
        </w:numPr>
        <w:spacing w:before="120" w:after="120"/>
        <w:ind w:left="1276" w:hanging="567"/>
        <w:contextualSpacing w:val="0"/>
        <w:jc w:val="both"/>
        <w:rPr>
          <w:rFonts w:ascii="Times New Roman" w:hAnsi="Times New Roman"/>
          <w:b/>
          <w:sz w:val="24"/>
          <w:szCs w:val="24"/>
        </w:rPr>
      </w:pPr>
      <w:r w:rsidRPr="001A7055">
        <w:rPr>
          <w:rFonts w:ascii="Times New Roman" w:hAnsi="Times New Roman"/>
          <w:b/>
          <w:sz w:val="24"/>
          <w:szCs w:val="24"/>
        </w:rPr>
        <w:t>İleriye yönelik finansal bilgilerin</w:t>
      </w:r>
      <w:r>
        <w:rPr>
          <w:rFonts w:ascii="Times New Roman" w:hAnsi="Times New Roman"/>
          <w:b/>
          <w:sz w:val="24"/>
          <w:szCs w:val="24"/>
        </w:rPr>
        <w:t xml:space="preserve"> </w:t>
      </w:r>
      <w:r w:rsidRPr="00DA21D4">
        <w:rPr>
          <w:rFonts w:ascii="Times New Roman" w:hAnsi="Times New Roman"/>
          <w:b/>
          <w:sz w:val="24"/>
          <w:szCs w:val="24"/>
          <w:lang w:eastAsia="tr-TR"/>
        </w:rPr>
        <w:t>tarihî</w:t>
      </w:r>
      <w:r>
        <w:rPr>
          <w:rFonts w:ascii="Times New Roman" w:hAnsi="Times New Roman"/>
          <w:sz w:val="24"/>
          <w:szCs w:val="24"/>
          <w:lang w:eastAsia="tr-TR"/>
        </w:rPr>
        <w:t xml:space="preserve"> </w:t>
      </w:r>
      <w:r w:rsidRPr="001A7055">
        <w:rPr>
          <w:rFonts w:ascii="Times New Roman" w:hAnsi="Times New Roman"/>
          <w:b/>
          <w:sz w:val="24"/>
          <w:szCs w:val="24"/>
        </w:rPr>
        <w:t>finansal bilgilerin dayandığı esasla tutarlı bir şekilde, uygun muhasebe ilkeleri kullanılarak</w:t>
      </w:r>
      <w:r>
        <w:rPr>
          <w:rFonts w:ascii="Times New Roman" w:hAnsi="Times New Roman"/>
          <w:sz w:val="24"/>
          <w:szCs w:val="24"/>
          <w:lang w:eastAsia="tr-TR"/>
        </w:rPr>
        <w:t xml:space="preserve"> </w:t>
      </w:r>
      <w:r w:rsidRPr="001A7055">
        <w:rPr>
          <w:rFonts w:ascii="Times New Roman" w:hAnsi="Times New Roman"/>
          <w:b/>
          <w:sz w:val="24"/>
          <w:szCs w:val="24"/>
        </w:rPr>
        <w:t xml:space="preserve">hazırlanıp hazırlanmadığı. </w:t>
      </w:r>
    </w:p>
    <w:p w:rsidR="00117E9F" w:rsidRPr="001A7055" w:rsidRDefault="00117E9F" w:rsidP="008A2AA9">
      <w:pPr>
        <w:pStyle w:val="ListParagraph"/>
        <w:numPr>
          <w:ilvl w:val="0"/>
          <w:numId w:val="1"/>
        </w:numPr>
        <w:spacing w:before="120" w:after="120"/>
        <w:contextualSpacing w:val="0"/>
        <w:jc w:val="both"/>
        <w:rPr>
          <w:rFonts w:ascii="Times New Roman" w:hAnsi="Times New Roman"/>
          <w:sz w:val="24"/>
          <w:szCs w:val="24"/>
        </w:rPr>
      </w:pPr>
      <w:r w:rsidRPr="001A7055">
        <w:rPr>
          <w:rFonts w:ascii="Times New Roman" w:hAnsi="Times New Roman"/>
          <w:sz w:val="24"/>
          <w:szCs w:val="24"/>
        </w:rPr>
        <w:t>“İleriye yönelik finansal bilgiler” gelecekte meydana gelebilecek olaylar ve işletmenin muhtemel eylemleriyle ilgili varsayımlara dayanan finansal bilgiler anlamına gelir. Söz konusu finansal bilgilerin niteliği büyük ölçüde subjektiftir ve hazırlanması önemli ölçüde muhakeme kullanılmasını gerektirir. İleriye yönelik finansal bilgil</w:t>
      </w:r>
      <w:r>
        <w:rPr>
          <w:rFonts w:ascii="Times New Roman" w:hAnsi="Times New Roman"/>
          <w:sz w:val="24"/>
          <w:szCs w:val="24"/>
        </w:rPr>
        <w:t>er</w:t>
      </w:r>
      <w:r w:rsidRPr="001A7055">
        <w:rPr>
          <w:rFonts w:ascii="Times New Roman" w:hAnsi="Times New Roman"/>
          <w:sz w:val="24"/>
          <w:szCs w:val="24"/>
        </w:rPr>
        <w:t xml:space="preserve"> bir tahmin veya projeksiyon (öngörü) olabilir; veya bu ikisinin bir birleşimi olabilir. Örneğin</w:t>
      </w:r>
      <w:r>
        <w:rPr>
          <w:rFonts w:ascii="Times New Roman" w:hAnsi="Times New Roman"/>
          <w:sz w:val="24"/>
          <w:szCs w:val="24"/>
        </w:rPr>
        <w:t>,</w:t>
      </w:r>
      <w:r w:rsidRPr="001A7055">
        <w:rPr>
          <w:rFonts w:ascii="Times New Roman" w:hAnsi="Times New Roman"/>
          <w:sz w:val="24"/>
          <w:szCs w:val="24"/>
        </w:rPr>
        <w:t xml:space="preserve"> bir yıllık tahmin artı beş yıllık bir projeksiyon gibi her ikisinin bileşimi şeklinde olabilir. </w:t>
      </w:r>
    </w:p>
    <w:p w:rsidR="00117E9F" w:rsidRPr="001A7055" w:rsidRDefault="00117E9F" w:rsidP="008A2AA9">
      <w:pPr>
        <w:pStyle w:val="ListParagraph"/>
        <w:numPr>
          <w:ilvl w:val="0"/>
          <w:numId w:val="1"/>
        </w:numPr>
        <w:spacing w:before="120" w:after="120"/>
        <w:contextualSpacing w:val="0"/>
        <w:jc w:val="both"/>
        <w:rPr>
          <w:rFonts w:ascii="Times New Roman" w:hAnsi="Times New Roman"/>
          <w:sz w:val="24"/>
          <w:szCs w:val="24"/>
        </w:rPr>
      </w:pPr>
      <w:r w:rsidRPr="001A7055">
        <w:rPr>
          <w:rFonts w:ascii="Times New Roman" w:hAnsi="Times New Roman"/>
          <w:sz w:val="24"/>
          <w:szCs w:val="24"/>
        </w:rPr>
        <w:t>“Tahmin</w:t>
      </w:r>
      <w:r>
        <w:rPr>
          <w:rFonts w:ascii="Times New Roman" w:hAnsi="Times New Roman"/>
          <w:sz w:val="24"/>
          <w:szCs w:val="24"/>
        </w:rPr>
        <w:t xml:space="preserve">”, </w:t>
      </w:r>
      <w:r w:rsidRPr="001A7055">
        <w:rPr>
          <w:rFonts w:ascii="Times New Roman" w:hAnsi="Times New Roman"/>
          <w:sz w:val="24"/>
          <w:szCs w:val="24"/>
        </w:rPr>
        <w:t>yönetimin bilgilerin hazırlandığı tarih itibariyle gerçekleştirmeyi beklediği faaliyetlerle (en iyi tahmine dayalı varsayımlar) ve yönetimin meydana gelmesini beklediği geleceğe ilişkin olaylarla ilgili varsayımlara dayalı olarak hazırlanan ileriye yönelik finansal bilgiler anlamına gelir.</w:t>
      </w:r>
    </w:p>
    <w:p w:rsidR="00117E9F" w:rsidRPr="001A7055" w:rsidRDefault="00117E9F" w:rsidP="008A2AA9">
      <w:pPr>
        <w:pStyle w:val="ListParagraph"/>
        <w:numPr>
          <w:ilvl w:val="0"/>
          <w:numId w:val="1"/>
        </w:numPr>
        <w:spacing w:before="120" w:after="120"/>
        <w:contextualSpacing w:val="0"/>
        <w:jc w:val="both"/>
        <w:rPr>
          <w:rFonts w:ascii="Times New Roman" w:hAnsi="Times New Roman"/>
          <w:sz w:val="24"/>
          <w:szCs w:val="24"/>
        </w:rPr>
      </w:pPr>
      <w:r w:rsidRPr="001A7055">
        <w:rPr>
          <w:rFonts w:ascii="Times New Roman" w:hAnsi="Times New Roman"/>
          <w:sz w:val="24"/>
          <w:szCs w:val="24"/>
        </w:rPr>
        <w:t>“Projeksiyon” (Öngörü), aşağıdaki esaslara dayalı olarak hazırlanan ileriye yönelik finansal bilgiler anlamına gelir:</w:t>
      </w:r>
    </w:p>
    <w:p w:rsidR="00117E9F" w:rsidRPr="001A7055" w:rsidRDefault="00117E9F" w:rsidP="008A2AA9">
      <w:pPr>
        <w:pStyle w:val="ListParagraph"/>
        <w:numPr>
          <w:ilvl w:val="0"/>
          <w:numId w:val="4"/>
        </w:numPr>
        <w:spacing w:before="120" w:after="120"/>
        <w:ind w:left="1418" w:hanging="567"/>
        <w:contextualSpacing w:val="0"/>
        <w:jc w:val="both"/>
        <w:rPr>
          <w:rFonts w:ascii="Times New Roman" w:hAnsi="Times New Roman"/>
          <w:sz w:val="24"/>
          <w:szCs w:val="24"/>
        </w:rPr>
      </w:pPr>
      <w:r w:rsidRPr="001A7055">
        <w:rPr>
          <w:rFonts w:ascii="Times New Roman" w:hAnsi="Times New Roman"/>
          <w:sz w:val="24"/>
          <w:szCs w:val="24"/>
        </w:rPr>
        <w:t>Kesin olarak meydana gelmesi beklenmeyen geleceğe ilişkin olaylara ve yönetimin eylemlerine ilişkin hipoteze dayalı varsayımlara (örneğin</w:t>
      </w:r>
      <w:r>
        <w:rPr>
          <w:rFonts w:ascii="Times New Roman" w:hAnsi="Times New Roman"/>
          <w:sz w:val="24"/>
          <w:szCs w:val="24"/>
        </w:rPr>
        <w:t>;</w:t>
      </w:r>
      <w:r w:rsidRPr="001A7055">
        <w:rPr>
          <w:rFonts w:ascii="Times New Roman" w:hAnsi="Times New Roman"/>
          <w:sz w:val="24"/>
          <w:szCs w:val="24"/>
        </w:rPr>
        <w:t xml:space="preserve"> bazı işletmelerin kuruluş aşamasında olması veya faaliyetlerinin niteliğinde önemli değişimi planlıyor olması gibi</w:t>
      </w:r>
      <w:r>
        <w:rPr>
          <w:rFonts w:ascii="Times New Roman" w:hAnsi="Times New Roman"/>
          <w:sz w:val="24"/>
          <w:szCs w:val="24"/>
        </w:rPr>
        <w:t xml:space="preserve"> hâllerde</w:t>
      </w:r>
      <w:r w:rsidRPr="001A7055">
        <w:rPr>
          <w:rFonts w:ascii="Times New Roman" w:hAnsi="Times New Roman"/>
          <w:sz w:val="24"/>
          <w:szCs w:val="24"/>
        </w:rPr>
        <w:t>) veya</w:t>
      </w:r>
    </w:p>
    <w:p w:rsidR="00117E9F" w:rsidRPr="001A7055" w:rsidRDefault="00117E9F" w:rsidP="007403B0">
      <w:pPr>
        <w:pStyle w:val="ListParagraph"/>
        <w:numPr>
          <w:ilvl w:val="0"/>
          <w:numId w:val="4"/>
        </w:numPr>
        <w:spacing w:before="120" w:after="120"/>
        <w:ind w:left="1418" w:hanging="567"/>
        <w:contextualSpacing w:val="0"/>
        <w:jc w:val="both"/>
        <w:rPr>
          <w:rFonts w:ascii="Times New Roman" w:hAnsi="Times New Roman"/>
          <w:sz w:val="24"/>
          <w:szCs w:val="24"/>
        </w:rPr>
      </w:pPr>
      <w:r w:rsidRPr="001A7055">
        <w:rPr>
          <w:rFonts w:ascii="Times New Roman" w:hAnsi="Times New Roman"/>
          <w:sz w:val="24"/>
          <w:szCs w:val="24"/>
        </w:rPr>
        <w:t>En iyi tahmine ve hipoteze dayalı varsayımların bir bileşimine</w:t>
      </w:r>
    </w:p>
    <w:p w:rsidR="00117E9F" w:rsidRPr="001A7055" w:rsidRDefault="00117E9F" w:rsidP="008A2AA9">
      <w:pPr>
        <w:spacing w:before="120" w:after="120"/>
        <w:ind w:left="708"/>
        <w:jc w:val="both"/>
        <w:rPr>
          <w:rFonts w:ascii="Times New Roman" w:hAnsi="Times New Roman"/>
          <w:sz w:val="24"/>
          <w:szCs w:val="24"/>
        </w:rPr>
      </w:pPr>
      <w:r w:rsidRPr="001A7055">
        <w:rPr>
          <w:rFonts w:ascii="Times New Roman" w:hAnsi="Times New Roman"/>
          <w:sz w:val="24"/>
          <w:szCs w:val="24"/>
        </w:rPr>
        <w:t>Bu tür bilgiler</w:t>
      </w:r>
      <w:r>
        <w:rPr>
          <w:rFonts w:ascii="Times New Roman" w:hAnsi="Times New Roman"/>
          <w:sz w:val="24"/>
          <w:szCs w:val="24"/>
        </w:rPr>
        <w:t xml:space="preserve">, </w:t>
      </w:r>
      <w:r w:rsidRPr="001A7055">
        <w:rPr>
          <w:rFonts w:ascii="Times New Roman" w:hAnsi="Times New Roman"/>
          <w:sz w:val="24"/>
          <w:szCs w:val="24"/>
        </w:rPr>
        <w:t>söz konusu bilgilerin hazırlandığı tarih itibariyle</w:t>
      </w:r>
      <w:r>
        <w:rPr>
          <w:rFonts w:ascii="Times New Roman" w:hAnsi="Times New Roman"/>
          <w:sz w:val="24"/>
          <w:szCs w:val="24"/>
        </w:rPr>
        <w:t>,</w:t>
      </w:r>
      <w:r w:rsidRPr="001A7055">
        <w:rPr>
          <w:rFonts w:ascii="Times New Roman" w:hAnsi="Times New Roman"/>
          <w:sz w:val="24"/>
          <w:szCs w:val="24"/>
        </w:rPr>
        <w:t xml:space="preserve"> </w:t>
      </w:r>
      <w:r>
        <w:rPr>
          <w:rFonts w:ascii="Times New Roman" w:hAnsi="Times New Roman"/>
          <w:sz w:val="24"/>
          <w:szCs w:val="24"/>
        </w:rPr>
        <w:t xml:space="preserve">ilgili </w:t>
      </w:r>
      <w:r w:rsidRPr="001A7055">
        <w:rPr>
          <w:rFonts w:ascii="Times New Roman" w:hAnsi="Times New Roman"/>
          <w:sz w:val="24"/>
          <w:szCs w:val="24"/>
        </w:rPr>
        <w:t>olaylar ve eylemlerin meydana gelm</w:t>
      </w:r>
      <w:r>
        <w:rPr>
          <w:rFonts w:ascii="Times New Roman" w:hAnsi="Times New Roman"/>
          <w:sz w:val="24"/>
          <w:szCs w:val="24"/>
        </w:rPr>
        <w:t>iş olması hâlinde</w:t>
      </w:r>
      <w:r w:rsidRPr="001A7055">
        <w:rPr>
          <w:rFonts w:ascii="Times New Roman" w:hAnsi="Times New Roman"/>
          <w:sz w:val="24"/>
          <w:szCs w:val="24"/>
        </w:rPr>
        <w:t xml:space="preserve"> ortaya çıkacak muhtemel sonuçları gösterir (“böyle olursa” senaryosu).</w:t>
      </w:r>
    </w:p>
    <w:p w:rsidR="00117E9F" w:rsidRPr="001A7055" w:rsidRDefault="00117E9F" w:rsidP="008A2AA9">
      <w:pPr>
        <w:pStyle w:val="ListParagraph"/>
        <w:numPr>
          <w:ilvl w:val="0"/>
          <w:numId w:val="1"/>
        </w:numPr>
        <w:spacing w:before="120" w:after="120"/>
        <w:contextualSpacing w:val="0"/>
        <w:jc w:val="both"/>
        <w:rPr>
          <w:rFonts w:ascii="Times New Roman" w:hAnsi="Times New Roman"/>
          <w:sz w:val="24"/>
          <w:szCs w:val="24"/>
        </w:rPr>
      </w:pPr>
      <w:r w:rsidRPr="001A7055">
        <w:rPr>
          <w:rFonts w:ascii="Times New Roman" w:hAnsi="Times New Roman"/>
          <w:sz w:val="24"/>
          <w:szCs w:val="24"/>
        </w:rPr>
        <w:t xml:space="preserve">İleriye yönelik finansal bilgiler finansal tabloları veya finansal tablo unsurlarından bir veya daha fazlasını içerebilir ve </w:t>
      </w:r>
    </w:p>
    <w:p w:rsidR="00117E9F" w:rsidRPr="001A7055" w:rsidRDefault="00117E9F" w:rsidP="00405821">
      <w:pPr>
        <w:pStyle w:val="ListParagraph"/>
        <w:numPr>
          <w:ilvl w:val="0"/>
          <w:numId w:val="27"/>
        </w:numPr>
        <w:spacing w:before="120" w:after="120"/>
        <w:ind w:left="1418" w:hanging="567"/>
        <w:contextualSpacing w:val="0"/>
        <w:jc w:val="both"/>
        <w:rPr>
          <w:rFonts w:ascii="Times New Roman" w:hAnsi="Times New Roman"/>
          <w:sz w:val="24"/>
          <w:szCs w:val="24"/>
        </w:rPr>
      </w:pPr>
      <w:r w:rsidRPr="001A7055">
        <w:rPr>
          <w:rFonts w:ascii="Times New Roman" w:hAnsi="Times New Roman"/>
          <w:sz w:val="24"/>
          <w:szCs w:val="24"/>
        </w:rPr>
        <w:t>Muhtemel bir sermaye yatırımının değerlendirilmesine yardımcı olmak gibi bir amaçla bir iç yönetim aracı olarak veya</w:t>
      </w:r>
    </w:p>
    <w:p w:rsidR="00117E9F" w:rsidRPr="001A7055" w:rsidRDefault="00117E9F" w:rsidP="00405821">
      <w:pPr>
        <w:pStyle w:val="ListParagraph"/>
        <w:numPr>
          <w:ilvl w:val="0"/>
          <w:numId w:val="27"/>
        </w:numPr>
        <w:spacing w:before="120" w:after="120"/>
        <w:ind w:left="1418" w:hanging="567"/>
        <w:contextualSpacing w:val="0"/>
        <w:jc w:val="both"/>
        <w:rPr>
          <w:rFonts w:ascii="Times New Roman" w:hAnsi="Times New Roman"/>
          <w:sz w:val="24"/>
          <w:szCs w:val="24"/>
        </w:rPr>
      </w:pPr>
      <w:r w:rsidRPr="001A7055">
        <w:rPr>
          <w:rFonts w:ascii="Times New Roman" w:hAnsi="Times New Roman"/>
          <w:sz w:val="24"/>
          <w:szCs w:val="24"/>
        </w:rPr>
        <w:t>Üçüncü taraflara dağıtılmak üzere aşağıda örnekleri verilen şekilde hazırlanabilir:</w:t>
      </w:r>
    </w:p>
    <w:p w:rsidR="00117E9F" w:rsidRPr="001A7055" w:rsidRDefault="00117E9F" w:rsidP="00405821">
      <w:pPr>
        <w:pStyle w:val="ListParagraph"/>
        <w:numPr>
          <w:ilvl w:val="0"/>
          <w:numId w:val="7"/>
        </w:numPr>
        <w:spacing w:before="120" w:after="120"/>
        <w:ind w:left="1985" w:hanging="567"/>
        <w:contextualSpacing w:val="0"/>
        <w:jc w:val="both"/>
        <w:rPr>
          <w:rFonts w:ascii="Times New Roman" w:hAnsi="Times New Roman"/>
          <w:sz w:val="24"/>
          <w:szCs w:val="24"/>
        </w:rPr>
      </w:pPr>
      <w:r w:rsidRPr="001A7055">
        <w:rPr>
          <w:rFonts w:ascii="Times New Roman" w:hAnsi="Times New Roman"/>
          <w:sz w:val="24"/>
          <w:szCs w:val="24"/>
        </w:rPr>
        <w:t>Potansiyel yatırımcılara geleceğe ilişkin beklentilerle ilgili bilgileri sağlamak üzere</w:t>
      </w:r>
      <w:r>
        <w:rPr>
          <w:rFonts w:ascii="Times New Roman" w:hAnsi="Times New Roman"/>
          <w:sz w:val="24"/>
          <w:szCs w:val="24"/>
        </w:rPr>
        <w:t xml:space="preserve"> </w:t>
      </w:r>
      <w:r w:rsidRPr="00A2788B">
        <w:rPr>
          <w:rFonts w:ascii="Times New Roman" w:hAnsi="Times New Roman"/>
          <w:sz w:val="24"/>
          <w:szCs w:val="24"/>
        </w:rPr>
        <w:t>bir izahname</w:t>
      </w:r>
      <w:r>
        <w:rPr>
          <w:rFonts w:ascii="Times New Roman" w:hAnsi="Times New Roman"/>
          <w:sz w:val="24"/>
          <w:szCs w:val="24"/>
        </w:rPr>
        <w:t xml:space="preserve"> olarak,</w:t>
      </w:r>
    </w:p>
    <w:p w:rsidR="00117E9F" w:rsidRPr="001A7055" w:rsidRDefault="00117E9F" w:rsidP="00405821">
      <w:pPr>
        <w:pStyle w:val="ListParagraph"/>
        <w:numPr>
          <w:ilvl w:val="0"/>
          <w:numId w:val="7"/>
        </w:numPr>
        <w:spacing w:before="120" w:after="120"/>
        <w:ind w:left="1985" w:hanging="567"/>
        <w:contextualSpacing w:val="0"/>
        <w:jc w:val="both"/>
        <w:rPr>
          <w:rFonts w:ascii="Times New Roman" w:hAnsi="Times New Roman"/>
          <w:sz w:val="24"/>
          <w:szCs w:val="24"/>
        </w:rPr>
      </w:pPr>
      <w:r w:rsidRPr="001A7055">
        <w:rPr>
          <w:rFonts w:ascii="Times New Roman" w:hAnsi="Times New Roman"/>
          <w:sz w:val="24"/>
          <w:szCs w:val="24"/>
        </w:rPr>
        <w:t>Hissedarlar, düzenleyici otoriteler ve diğer ilişkili taraflara bilgi sağlamak üzere</w:t>
      </w:r>
      <w:r>
        <w:rPr>
          <w:rFonts w:ascii="Times New Roman" w:hAnsi="Times New Roman"/>
          <w:sz w:val="24"/>
          <w:szCs w:val="24"/>
        </w:rPr>
        <w:t xml:space="preserve"> bir</w:t>
      </w:r>
      <w:r w:rsidRPr="00A2788B">
        <w:rPr>
          <w:rFonts w:ascii="Times New Roman" w:hAnsi="Times New Roman"/>
          <w:sz w:val="24"/>
          <w:szCs w:val="24"/>
        </w:rPr>
        <w:t xml:space="preserve"> yıllık faaliyet raporu</w:t>
      </w:r>
      <w:r>
        <w:rPr>
          <w:rFonts w:ascii="Times New Roman" w:hAnsi="Times New Roman"/>
          <w:sz w:val="24"/>
          <w:szCs w:val="24"/>
        </w:rPr>
        <w:t xml:space="preserve"> olarak,</w:t>
      </w:r>
    </w:p>
    <w:p w:rsidR="00117E9F" w:rsidRPr="001A7055" w:rsidRDefault="00117E9F" w:rsidP="00405821">
      <w:pPr>
        <w:pStyle w:val="ListParagraph"/>
        <w:numPr>
          <w:ilvl w:val="0"/>
          <w:numId w:val="7"/>
        </w:numPr>
        <w:spacing w:before="120" w:after="120"/>
        <w:ind w:left="1985" w:hanging="567"/>
        <w:contextualSpacing w:val="0"/>
        <w:jc w:val="both"/>
        <w:rPr>
          <w:rFonts w:ascii="Times New Roman" w:hAnsi="Times New Roman"/>
          <w:sz w:val="24"/>
          <w:szCs w:val="24"/>
        </w:rPr>
      </w:pPr>
      <w:r w:rsidRPr="001A7055">
        <w:rPr>
          <w:rFonts w:ascii="Times New Roman" w:hAnsi="Times New Roman"/>
          <w:sz w:val="24"/>
          <w:szCs w:val="24"/>
        </w:rPr>
        <w:t>Nakit akışı tahminleri gibi unsurları içerebilecek, borç verenlerin bilgisine sunmak üzere</w:t>
      </w:r>
      <w:r>
        <w:rPr>
          <w:rFonts w:ascii="Times New Roman" w:hAnsi="Times New Roman"/>
          <w:sz w:val="24"/>
          <w:szCs w:val="24"/>
        </w:rPr>
        <w:t xml:space="preserve"> bir</w:t>
      </w:r>
      <w:r w:rsidRPr="00A2788B">
        <w:rPr>
          <w:rFonts w:ascii="Times New Roman" w:hAnsi="Times New Roman"/>
          <w:sz w:val="24"/>
          <w:szCs w:val="24"/>
        </w:rPr>
        <w:t xml:space="preserve"> doküman</w:t>
      </w:r>
      <w:r>
        <w:rPr>
          <w:rFonts w:ascii="Times New Roman" w:hAnsi="Times New Roman"/>
          <w:sz w:val="24"/>
          <w:szCs w:val="24"/>
        </w:rPr>
        <w:t xml:space="preserve"> olarak.</w:t>
      </w:r>
    </w:p>
    <w:p w:rsidR="00117E9F" w:rsidRPr="001A7055" w:rsidRDefault="00117E9F" w:rsidP="008A2AA9">
      <w:pPr>
        <w:pStyle w:val="ListParagraph"/>
        <w:numPr>
          <w:ilvl w:val="0"/>
          <w:numId w:val="1"/>
        </w:numPr>
        <w:spacing w:before="120" w:after="120"/>
        <w:contextualSpacing w:val="0"/>
        <w:jc w:val="both"/>
        <w:rPr>
          <w:rFonts w:ascii="Times New Roman" w:hAnsi="Times New Roman"/>
          <w:sz w:val="24"/>
          <w:szCs w:val="24"/>
        </w:rPr>
      </w:pPr>
      <w:r w:rsidRPr="001A7055">
        <w:rPr>
          <w:rFonts w:ascii="Times New Roman" w:hAnsi="Times New Roman"/>
          <w:sz w:val="24"/>
          <w:szCs w:val="24"/>
        </w:rPr>
        <w:t xml:space="preserve">Yönetim, ileriye yönelik finansal bilgilerin dayandığı varsayımların belirlenmesi ve açıklaması da dâhil, söz konusu bilgilerin hazırlanmasından ve sunumundan sorumludur. İleriye yönelik finansal bilgiler ister üçüncü tarafların kullanımına ister kurum içi amaçlara yönelik olsun, denetçiden söz konusu bilgilerin güvenilirliğinin artırılması için bu bilgileri incelemesi ve bu bilgiler hakkında raporlama yapması talep edilebilir. </w:t>
      </w:r>
    </w:p>
    <w:p w:rsidR="00117E9F" w:rsidRPr="001A7055" w:rsidRDefault="00117E9F" w:rsidP="008A2AA9">
      <w:pPr>
        <w:spacing w:before="120" w:after="120"/>
        <w:jc w:val="both"/>
        <w:rPr>
          <w:rFonts w:ascii="Times New Roman" w:hAnsi="Times New Roman"/>
          <w:b/>
          <w:sz w:val="28"/>
          <w:szCs w:val="28"/>
        </w:rPr>
      </w:pPr>
      <w:r w:rsidRPr="001A7055">
        <w:rPr>
          <w:rFonts w:ascii="Times New Roman" w:hAnsi="Times New Roman"/>
          <w:b/>
          <w:sz w:val="28"/>
          <w:szCs w:val="28"/>
        </w:rPr>
        <w:t>İleriye Yönelik Finansal Bilgilere İlişkin Denetçi Tarafından Verilen Güvence</w:t>
      </w:r>
    </w:p>
    <w:p w:rsidR="00117E9F" w:rsidRPr="001A7055" w:rsidRDefault="00117E9F" w:rsidP="008A2AA9">
      <w:pPr>
        <w:pStyle w:val="ListParagraph"/>
        <w:numPr>
          <w:ilvl w:val="0"/>
          <w:numId w:val="1"/>
        </w:numPr>
        <w:spacing w:before="120" w:after="120"/>
        <w:contextualSpacing w:val="0"/>
        <w:jc w:val="both"/>
        <w:rPr>
          <w:rFonts w:ascii="Times New Roman" w:hAnsi="Times New Roman"/>
          <w:sz w:val="24"/>
          <w:szCs w:val="24"/>
        </w:rPr>
      </w:pPr>
      <w:r w:rsidRPr="001A7055">
        <w:rPr>
          <w:rFonts w:ascii="Times New Roman" w:hAnsi="Times New Roman"/>
          <w:sz w:val="24"/>
          <w:szCs w:val="24"/>
        </w:rPr>
        <w:t xml:space="preserve">İleriye yönelik finansal bilgiler, henüz meydana gelmemiş ve meydana gelmeyebilecek olay ve eylemlerle ilgilidir. İleriye yönelik finansal bilgilerin dayandırıldığı varsayımları destekleyen kanıtlar mevcut olabilir, ancak bu kanıtlar tarihi finansal bilgilerin denetiminden elde edilen kanıtlardan farklı olarak genellikle geleceğe yöneliktir ve dolayısıyla spekülatif niteliktedir. Dolayısıyla denetçi, ileriye yönelik finansal bilgilerde gösterilen sonuçlara ulaşılıp ulaşılamayacağı hususunda görüş bildirecek bir konumda değildir. </w:t>
      </w:r>
    </w:p>
    <w:p w:rsidR="00117E9F" w:rsidRPr="001A7055" w:rsidRDefault="00117E9F" w:rsidP="008A2AA9">
      <w:pPr>
        <w:pStyle w:val="ListParagraph"/>
        <w:numPr>
          <w:ilvl w:val="0"/>
          <w:numId w:val="1"/>
        </w:numPr>
        <w:spacing w:before="120" w:after="120"/>
        <w:contextualSpacing w:val="0"/>
        <w:jc w:val="both"/>
        <w:rPr>
          <w:rFonts w:ascii="Times New Roman" w:hAnsi="Times New Roman"/>
          <w:sz w:val="24"/>
          <w:szCs w:val="24"/>
        </w:rPr>
      </w:pPr>
      <w:r w:rsidRPr="001A7055">
        <w:rPr>
          <w:rFonts w:ascii="Times New Roman" w:hAnsi="Times New Roman"/>
          <w:sz w:val="24"/>
          <w:szCs w:val="24"/>
        </w:rPr>
        <w:t xml:space="preserve">Ayrıca, ileriye yönelik finansal bilgilerin dayandırıldığı varsayımların değerlendirilmesine ilişkin mevcut kanıt türleri dikkate alındığında, denetçinin varsayımlarda “önemli yanlışlık” bulunmadığı yönünde </w:t>
      </w:r>
      <w:r>
        <w:rPr>
          <w:rFonts w:ascii="Times New Roman" w:hAnsi="Times New Roman"/>
          <w:sz w:val="24"/>
          <w:szCs w:val="24"/>
        </w:rPr>
        <w:t>pozitif bir</w:t>
      </w:r>
      <w:r w:rsidRPr="00F24D2D">
        <w:rPr>
          <w:rFonts w:ascii="Times New Roman" w:hAnsi="Times New Roman"/>
          <w:sz w:val="24"/>
          <w:szCs w:val="24"/>
        </w:rPr>
        <w:t xml:space="preserve"> görüş </w:t>
      </w:r>
      <w:r>
        <w:rPr>
          <w:rFonts w:ascii="Times New Roman" w:hAnsi="Times New Roman"/>
          <w:sz w:val="24"/>
          <w:szCs w:val="24"/>
        </w:rPr>
        <w:t>vermek</w:t>
      </w:r>
      <w:r w:rsidRPr="001A7055">
        <w:rPr>
          <w:rFonts w:ascii="Times New Roman" w:hAnsi="Times New Roman"/>
          <w:sz w:val="24"/>
          <w:szCs w:val="24"/>
        </w:rPr>
        <w:t xml:space="preserve"> için yeterli tatmin düzeyine ulaşması zor olabilir. Sonuç olarak, bu GDS kapsamında yönetimin varsayımlarının makul olup olmadığı raporlanırken, denetçi yalnızca orta düzeyde bir güvence sağlar. Ancak, denetçi kendisini ikna eden (tatmin eden) kanıtları elde ettiği yargısına varırsa</w:t>
      </w:r>
      <w:r>
        <w:rPr>
          <w:rFonts w:ascii="Times New Roman" w:hAnsi="Times New Roman"/>
          <w:sz w:val="24"/>
          <w:szCs w:val="24"/>
        </w:rPr>
        <w:t>,</w:t>
      </w:r>
      <w:r w:rsidRPr="001A7055">
        <w:rPr>
          <w:rFonts w:ascii="Times New Roman" w:hAnsi="Times New Roman"/>
          <w:sz w:val="24"/>
          <w:szCs w:val="24"/>
        </w:rPr>
        <w:t xml:space="preserve"> varsayımlarla ilgili pozitif güvence ifade etmesine de engel olunmaz.</w:t>
      </w:r>
    </w:p>
    <w:p w:rsidR="00117E9F" w:rsidRPr="001A7055" w:rsidRDefault="00117E9F" w:rsidP="008A2AA9">
      <w:pPr>
        <w:spacing w:before="120" w:after="120"/>
        <w:jc w:val="both"/>
        <w:rPr>
          <w:rFonts w:ascii="Times New Roman" w:hAnsi="Times New Roman"/>
          <w:b/>
          <w:sz w:val="28"/>
          <w:szCs w:val="28"/>
        </w:rPr>
      </w:pPr>
      <w:r w:rsidRPr="001A7055">
        <w:rPr>
          <w:rFonts w:ascii="Times New Roman" w:hAnsi="Times New Roman"/>
          <w:b/>
          <w:sz w:val="28"/>
          <w:szCs w:val="28"/>
        </w:rPr>
        <w:t>Denetimin Kabulü</w:t>
      </w:r>
    </w:p>
    <w:p w:rsidR="00117E9F" w:rsidRPr="001A7055" w:rsidRDefault="00117E9F" w:rsidP="008A2AA9">
      <w:pPr>
        <w:pStyle w:val="ListParagraph"/>
        <w:numPr>
          <w:ilvl w:val="0"/>
          <w:numId w:val="1"/>
        </w:numPr>
        <w:spacing w:before="120" w:after="120"/>
        <w:contextualSpacing w:val="0"/>
        <w:jc w:val="both"/>
        <w:rPr>
          <w:rFonts w:ascii="Times New Roman" w:hAnsi="Times New Roman"/>
          <w:sz w:val="24"/>
          <w:szCs w:val="24"/>
        </w:rPr>
      </w:pPr>
      <w:r w:rsidRPr="001A7055">
        <w:rPr>
          <w:rFonts w:ascii="Times New Roman" w:hAnsi="Times New Roman"/>
          <w:sz w:val="24"/>
          <w:szCs w:val="24"/>
        </w:rPr>
        <w:t>Denetçi, ileriye yönelik finansal bilgileri inceleme işini kabul etmeden önce diğer hususların yanı sıra aşağıdaki hususları da dikkate alır:</w:t>
      </w:r>
    </w:p>
    <w:p w:rsidR="00117E9F" w:rsidRPr="001A7055" w:rsidRDefault="00117E9F" w:rsidP="008A2AA9">
      <w:pPr>
        <w:pStyle w:val="ListParagraph"/>
        <w:numPr>
          <w:ilvl w:val="0"/>
          <w:numId w:val="9"/>
        </w:numPr>
        <w:spacing w:before="120" w:after="120"/>
        <w:contextualSpacing w:val="0"/>
        <w:jc w:val="both"/>
        <w:rPr>
          <w:rFonts w:ascii="Times New Roman" w:hAnsi="Times New Roman"/>
          <w:sz w:val="24"/>
          <w:szCs w:val="24"/>
        </w:rPr>
      </w:pPr>
      <w:r w:rsidRPr="001A7055">
        <w:rPr>
          <w:rFonts w:ascii="Times New Roman" w:hAnsi="Times New Roman"/>
          <w:sz w:val="24"/>
          <w:szCs w:val="24"/>
        </w:rPr>
        <w:t>Bilginin kullanım amacı,</w:t>
      </w:r>
    </w:p>
    <w:p w:rsidR="00117E9F" w:rsidRPr="00DA21D4" w:rsidRDefault="00117E9F" w:rsidP="008A2AA9">
      <w:pPr>
        <w:pStyle w:val="ListParagraph"/>
        <w:numPr>
          <w:ilvl w:val="0"/>
          <w:numId w:val="9"/>
        </w:numPr>
        <w:spacing w:before="120" w:after="120"/>
        <w:contextualSpacing w:val="0"/>
        <w:jc w:val="both"/>
        <w:rPr>
          <w:rFonts w:ascii="Times New Roman" w:hAnsi="Times New Roman"/>
          <w:sz w:val="24"/>
          <w:szCs w:val="24"/>
        </w:rPr>
      </w:pPr>
      <w:r w:rsidRPr="00DA21D4">
        <w:rPr>
          <w:rFonts w:ascii="Times New Roman" w:hAnsi="Times New Roman"/>
          <w:sz w:val="24"/>
          <w:szCs w:val="24"/>
        </w:rPr>
        <w:t xml:space="preserve">Bilgilerin dağıtımının sınırlanıp sınırlanmayacağı, </w:t>
      </w:r>
    </w:p>
    <w:p w:rsidR="00117E9F" w:rsidRPr="00DA21D4" w:rsidRDefault="00117E9F" w:rsidP="008A2AA9">
      <w:pPr>
        <w:pStyle w:val="ListParagraph"/>
        <w:numPr>
          <w:ilvl w:val="0"/>
          <w:numId w:val="9"/>
        </w:numPr>
        <w:spacing w:before="120" w:after="120"/>
        <w:contextualSpacing w:val="0"/>
        <w:jc w:val="both"/>
        <w:rPr>
          <w:rFonts w:ascii="Times New Roman" w:hAnsi="Times New Roman"/>
          <w:sz w:val="24"/>
          <w:szCs w:val="24"/>
        </w:rPr>
      </w:pPr>
      <w:r w:rsidRPr="00DA21D4">
        <w:rPr>
          <w:rFonts w:ascii="Times New Roman" w:hAnsi="Times New Roman"/>
          <w:sz w:val="24"/>
          <w:szCs w:val="24"/>
        </w:rPr>
        <w:t xml:space="preserve">Varsayımların niteliği (en iyi tahmine </w:t>
      </w:r>
      <w:r>
        <w:rPr>
          <w:rFonts w:ascii="Times New Roman" w:hAnsi="Times New Roman"/>
          <w:sz w:val="24"/>
          <w:szCs w:val="24"/>
        </w:rPr>
        <w:t xml:space="preserve">mi </w:t>
      </w:r>
      <w:r w:rsidRPr="00DA21D4">
        <w:rPr>
          <w:rFonts w:ascii="Times New Roman" w:hAnsi="Times New Roman"/>
          <w:sz w:val="24"/>
          <w:szCs w:val="24"/>
        </w:rPr>
        <w:t>dayalı</w:t>
      </w:r>
      <w:r>
        <w:rPr>
          <w:rFonts w:ascii="Times New Roman" w:hAnsi="Times New Roman"/>
          <w:sz w:val="24"/>
          <w:szCs w:val="24"/>
        </w:rPr>
        <w:t>,</w:t>
      </w:r>
      <w:r w:rsidRPr="00DA21D4">
        <w:rPr>
          <w:rFonts w:ascii="Times New Roman" w:hAnsi="Times New Roman"/>
          <w:sz w:val="24"/>
          <w:szCs w:val="24"/>
        </w:rPr>
        <w:t xml:space="preserve"> hipoteze </w:t>
      </w:r>
      <w:r>
        <w:rPr>
          <w:rFonts w:ascii="Times New Roman" w:hAnsi="Times New Roman"/>
          <w:sz w:val="24"/>
          <w:szCs w:val="24"/>
        </w:rPr>
        <w:t xml:space="preserve">mi </w:t>
      </w:r>
      <w:r w:rsidRPr="00DA21D4">
        <w:rPr>
          <w:rFonts w:ascii="Times New Roman" w:hAnsi="Times New Roman"/>
          <w:sz w:val="24"/>
          <w:szCs w:val="24"/>
        </w:rPr>
        <w:t xml:space="preserve">dayalı varsayım olduğu), </w:t>
      </w:r>
    </w:p>
    <w:p w:rsidR="00117E9F" w:rsidRPr="00DA21D4" w:rsidRDefault="00117E9F" w:rsidP="008A2AA9">
      <w:pPr>
        <w:pStyle w:val="ListParagraph"/>
        <w:numPr>
          <w:ilvl w:val="0"/>
          <w:numId w:val="9"/>
        </w:numPr>
        <w:spacing w:before="120" w:after="120"/>
        <w:contextualSpacing w:val="0"/>
        <w:jc w:val="both"/>
        <w:rPr>
          <w:rFonts w:ascii="Times New Roman" w:hAnsi="Times New Roman"/>
          <w:sz w:val="24"/>
          <w:szCs w:val="24"/>
        </w:rPr>
      </w:pPr>
      <w:r w:rsidRPr="00DA21D4">
        <w:rPr>
          <w:rFonts w:ascii="Times New Roman" w:hAnsi="Times New Roman"/>
          <w:sz w:val="24"/>
          <w:szCs w:val="24"/>
        </w:rPr>
        <w:t xml:space="preserve">Bilgiye dahil edilecek unsurlar ve </w:t>
      </w:r>
    </w:p>
    <w:p w:rsidR="00117E9F" w:rsidRPr="00DA21D4" w:rsidRDefault="00117E9F" w:rsidP="008A2AA9">
      <w:pPr>
        <w:pStyle w:val="ListParagraph"/>
        <w:numPr>
          <w:ilvl w:val="0"/>
          <w:numId w:val="9"/>
        </w:numPr>
        <w:spacing w:before="120" w:after="120"/>
        <w:contextualSpacing w:val="0"/>
        <w:jc w:val="both"/>
        <w:rPr>
          <w:rFonts w:ascii="Times New Roman" w:hAnsi="Times New Roman"/>
          <w:sz w:val="24"/>
          <w:szCs w:val="24"/>
        </w:rPr>
      </w:pPr>
      <w:r w:rsidRPr="00DA21D4">
        <w:rPr>
          <w:rFonts w:ascii="Times New Roman" w:hAnsi="Times New Roman"/>
          <w:sz w:val="24"/>
          <w:szCs w:val="24"/>
        </w:rPr>
        <w:t>Bilgilerin kapsadığı dönem.</w:t>
      </w:r>
    </w:p>
    <w:p w:rsidR="00117E9F" w:rsidRPr="00D03A11" w:rsidRDefault="00117E9F" w:rsidP="008A2AA9">
      <w:pPr>
        <w:pStyle w:val="ListParagraph"/>
        <w:numPr>
          <w:ilvl w:val="0"/>
          <w:numId w:val="1"/>
        </w:numPr>
        <w:spacing w:before="120" w:after="120"/>
        <w:contextualSpacing w:val="0"/>
        <w:jc w:val="both"/>
        <w:rPr>
          <w:rFonts w:ascii="Times New Roman" w:hAnsi="Times New Roman"/>
          <w:b/>
          <w:sz w:val="24"/>
          <w:szCs w:val="24"/>
        </w:rPr>
      </w:pPr>
      <w:r w:rsidRPr="003043B0">
        <w:rPr>
          <w:rFonts w:ascii="Times New Roman" w:hAnsi="Times New Roman"/>
          <w:b/>
          <w:sz w:val="24"/>
          <w:szCs w:val="24"/>
        </w:rPr>
        <w:t>Denetçi,</w:t>
      </w:r>
      <w:r w:rsidRPr="00D03A11">
        <w:rPr>
          <w:rFonts w:ascii="Times New Roman" w:hAnsi="Times New Roman"/>
          <w:b/>
          <w:sz w:val="24"/>
          <w:szCs w:val="24"/>
        </w:rPr>
        <w:t xml:space="preserve"> </w:t>
      </w:r>
      <w:r>
        <w:rPr>
          <w:rFonts w:ascii="Times New Roman" w:hAnsi="Times New Roman"/>
          <w:b/>
          <w:sz w:val="24"/>
          <w:szCs w:val="24"/>
        </w:rPr>
        <w:t>v</w:t>
      </w:r>
      <w:r w:rsidRPr="00D03A11">
        <w:rPr>
          <w:rFonts w:ascii="Times New Roman" w:hAnsi="Times New Roman"/>
          <w:b/>
          <w:sz w:val="24"/>
          <w:szCs w:val="24"/>
        </w:rPr>
        <w:t>arsayımların açık bir şekilde gerçekçi olma</w:t>
      </w:r>
      <w:r>
        <w:rPr>
          <w:rFonts w:ascii="Times New Roman" w:hAnsi="Times New Roman"/>
          <w:b/>
          <w:sz w:val="24"/>
          <w:szCs w:val="24"/>
        </w:rPr>
        <w:t>dığı</w:t>
      </w:r>
      <w:r w:rsidRPr="00D03A11">
        <w:rPr>
          <w:rFonts w:ascii="Times New Roman" w:hAnsi="Times New Roman"/>
          <w:b/>
          <w:sz w:val="24"/>
          <w:szCs w:val="24"/>
        </w:rPr>
        <w:t xml:space="preserve"> veya ileriye yönelik finansal bilgilerin kullanım amacına uygun olmadığı kanaatine varması durumunda, denetimi kabul etmez veya denetimden çekilir.</w:t>
      </w:r>
    </w:p>
    <w:p w:rsidR="00117E9F" w:rsidRPr="001A7055" w:rsidRDefault="00117E9F" w:rsidP="008A2AA9">
      <w:pPr>
        <w:pStyle w:val="ListParagraph"/>
        <w:numPr>
          <w:ilvl w:val="0"/>
          <w:numId w:val="1"/>
        </w:numPr>
        <w:spacing w:before="120" w:after="120"/>
        <w:jc w:val="both"/>
        <w:rPr>
          <w:rFonts w:ascii="Times New Roman" w:hAnsi="Times New Roman"/>
          <w:sz w:val="24"/>
          <w:szCs w:val="24"/>
        </w:rPr>
      </w:pPr>
      <w:r w:rsidRPr="00D03A11">
        <w:rPr>
          <w:rFonts w:ascii="Times New Roman" w:hAnsi="Times New Roman"/>
          <w:b/>
          <w:sz w:val="24"/>
          <w:szCs w:val="24"/>
        </w:rPr>
        <w:t>Denetçi ve müşterinin, denetimin şartları üzerinde anlaşmaya varması gerekir.</w:t>
      </w:r>
      <w:r w:rsidRPr="001A7055">
        <w:rPr>
          <w:rFonts w:ascii="Times New Roman" w:hAnsi="Times New Roman"/>
          <w:sz w:val="24"/>
          <w:szCs w:val="24"/>
        </w:rPr>
        <w:t xml:space="preserve"> Yazılı bir denetim sözleşmesi, denetimle ilgili yanlış anlamaları önleme bakımından müşteri ve denetçinin yararınadır. Denetim sözleşmesinde, 10 uncu paragraftaki hususlar ile yönetimin varsayımlardan sorumlu olduğu ve varsayımların geliştirilmesinde kullanılan ilgili tüm bilgilerin ve kaynak verilerin denetçiye sağlanmasından sorumlu olduğu yer alır.</w:t>
      </w:r>
    </w:p>
    <w:p w:rsidR="00117E9F" w:rsidRPr="001A7055" w:rsidRDefault="00117E9F" w:rsidP="005B68DF">
      <w:pPr>
        <w:spacing w:before="120" w:after="120"/>
        <w:jc w:val="both"/>
        <w:rPr>
          <w:rFonts w:ascii="Times New Roman" w:hAnsi="Times New Roman"/>
          <w:b/>
          <w:sz w:val="28"/>
          <w:szCs w:val="28"/>
        </w:rPr>
      </w:pPr>
      <w:r>
        <w:rPr>
          <w:rFonts w:ascii="Times New Roman" w:hAnsi="Times New Roman"/>
          <w:b/>
          <w:sz w:val="28"/>
          <w:szCs w:val="28"/>
        </w:rPr>
        <w:t>İş</w:t>
      </w:r>
      <w:r w:rsidRPr="001A7055">
        <w:rPr>
          <w:rFonts w:ascii="Times New Roman" w:hAnsi="Times New Roman"/>
          <w:b/>
          <w:sz w:val="28"/>
          <w:szCs w:val="28"/>
        </w:rPr>
        <w:t>e İlişkin Bilgi</w:t>
      </w:r>
    </w:p>
    <w:p w:rsidR="00117E9F" w:rsidRPr="001A7055" w:rsidRDefault="00117E9F" w:rsidP="00A84935">
      <w:pPr>
        <w:pStyle w:val="ListParagraph"/>
        <w:numPr>
          <w:ilvl w:val="0"/>
          <w:numId w:val="1"/>
        </w:numPr>
        <w:spacing w:before="120" w:after="120"/>
        <w:contextualSpacing w:val="0"/>
        <w:jc w:val="both"/>
        <w:rPr>
          <w:rFonts w:ascii="Times New Roman" w:hAnsi="Times New Roman"/>
          <w:sz w:val="24"/>
          <w:szCs w:val="24"/>
        </w:rPr>
      </w:pPr>
      <w:r w:rsidRPr="00D03A11">
        <w:rPr>
          <w:rFonts w:ascii="Times New Roman" w:hAnsi="Times New Roman"/>
          <w:b/>
          <w:sz w:val="24"/>
          <w:szCs w:val="24"/>
        </w:rPr>
        <w:t>Denetçi, ileriye yönelik bilgilerin hazırla</w:t>
      </w:r>
      <w:r>
        <w:rPr>
          <w:rFonts w:ascii="Times New Roman" w:hAnsi="Times New Roman"/>
          <w:b/>
          <w:sz w:val="24"/>
          <w:szCs w:val="24"/>
        </w:rPr>
        <w:t>n</w:t>
      </w:r>
      <w:r w:rsidRPr="00D03A11">
        <w:rPr>
          <w:rFonts w:ascii="Times New Roman" w:hAnsi="Times New Roman"/>
          <w:b/>
          <w:sz w:val="24"/>
          <w:szCs w:val="24"/>
        </w:rPr>
        <w:t xml:space="preserve">ması için gereken tüm önemli varsayımların belirlenip belirlenmediğini değerlendirebilmek amacıyla </w:t>
      </w:r>
      <w:r w:rsidRPr="005B68DF">
        <w:rPr>
          <w:rFonts w:ascii="Times New Roman" w:hAnsi="Times New Roman"/>
          <w:b/>
          <w:sz w:val="24"/>
          <w:szCs w:val="24"/>
        </w:rPr>
        <w:t>işletmeye ve ilgili faaliyete</w:t>
      </w:r>
      <w:r w:rsidRPr="00D03A11">
        <w:rPr>
          <w:rFonts w:ascii="Times New Roman" w:hAnsi="Times New Roman"/>
          <w:b/>
          <w:sz w:val="24"/>
          <w:szCs w:val="24"/>
        </w:rPr>
        <w:t xml:space="preserve"> ilişkin yeterli düzeyde bilgi elde eder.</w:t>
      </w:r>
      <w:r w:rsidRPr="001A7055">
        <w:rPr>
          <w:rFonts w:ascii="Times New Roman" w:hAnsi="Times New Roman"/>
          <w:sz w:val="24"/>
          <w:szCs w:val="24"/>
        </w:rPr>
        <w:t xml:space="preserve"> Aynı zamanda denetçi, aşağıda örnekleri verilen hususları dikkate almak suretiyle işletmenin ileriye yönelik finansal bilgiler hazırlama süreci hakkında bilgi -anlayış- edinir:</w:t>
      </w:r>
    </w:p>
    <w:p w:rsidR="00117E9F" w:rsidRPr="001A7055" w:rsidRDefault="00117E9F" w:rsidP="008A2AA9">
      <w:pPr>
        <w:pStyle w:val="ListParagraph"/>
        <w:numPr>
          <w:ilvl w:val="0"/>
          <w:numId w:val="11"/>
        </w:numPr>
        <w:spacing w:before="120" w:after="120"/>
        <w:contextualSpacing w:val="0"/>
        <w:jc w:val="both"/>
        <w:rPr>
          <w:rFonts w:ascii="Times New Roman" w:hAnsi="Times New Roman"/>
          <w:sz w:val="24"/>
          <w:szCs w:val="24"/>
        </w:rPr>
      </w:pPr>
      <w:r w:rsidRPr="001A7055">
        <w:rPr>
          <w:rFonts w:ascii="Times New Roman" w:hAnsi="Times New Roman"/>
          <w:sz w:val="24"/>
          <w:szCs w:val="24"/>
        </w:rPr>
        <w:t xml:space="preserve">İleriye yönelik finansal bilgilerin hazırlanması için kullanılan sistem üzerinde gerçekleştirilen iç kontroller ve ileriye yönelik finansal bilgileri hazırlayan kişilerin uzmanlığı ve deneyimi. </w:t>
      </w:r>
    </w:p>
    <w:p w:rsidR="00117E9F" w:rsidRPr="001A7055" w:rsidRDefault="00117E9F" w:rsidP="008A2AA9">
      <w:pPr>
        <w:pStyle w:val="ListParagraph"/>
        <w:numPr>
          <w:ilvl w:val="0"/>
          <w:numId w:val="11"/>
        </w:numPr>
        <w:spacing w:before="120" w:after="120"/>
        <w:contextualSpacing w:val="0"/>
        <w:jc w:val="both"/>
        <w:rPr>
          <w:rFonts w:ascii="Times New Roman" w:hAnsi="Times New Roman"/>
          <w:sz w:val="24"/>
          <w:szCs w:val="24"/>
        </w:rPr>
      </w:pPr>
      <w:r w:rsidRPr="001A7055">
        <w:rPr>
          <w:rFonts w:ascii="Times New Roman" w:hAnsi="Times New Roman"/>
          <w:sz w:val="24"/>
          <w:szCs w:val="24"/>
        </w:rPr>
        <w:t>İşletme tarafından hazırlanmış ve yönetimin varsayımlarını destekleyen belgelerin (belgelendirmenin) niteliği.</w:t>
      </w:r>
    </w:p>
    <w:p w:rsidR="00117E9F" w:rsidRPr="001A7055" w:rsidRDefault="00117E9F" w:rsidP="008A2AA9">
      <w:pPr>
        <w:pStyle w:val="ListParagraph"/>
        <w:numPr>
          <w:ilvl w:val="0"/>
          <w:numId w:val="11"/>
        </w:numPr>
        <w:spacing w:before="120" w:after="120"/>
        <w:contextualSpacing w:val="0"/>
        <w:jc w:val="both"/>
        <w:rPr>
          <w:rFonts w:ascii="Times New Roman" w:hAnsi="Times New Roman"/>
          <w:sz w:val="24"/>
          <w:szCs w:val="24"/>
        </w:rPr>
      </w:pPr>
      <w:r w:rsidRPr="001A7055">
        <w:rPr>
          <w:rFonts w:ascii="Times New Roman" w:hAnsi="Times New Roman"/>
          <w:sz w:val="24"/>
          <w:szCs w:val="24"/>
        </w:rPr>
        <w:t>İstatistiksel, matematiksel ve bilgisayar destekli tekniklerin kullanılma düzeyi.</w:t>
      </w:r>
    </w:p>
    <w:p w:rsidR="00117E9F" w:rsidRPr="001A7055" w:rsidRDefault="00117E9F" w:rsidP="008A2AA9">
      <w:pPr>
        <w:pStyle w:val="ListParagraph"/>
        <w:numPr>
          <w:ilvl w:val="0"/>
          <w:numId w:val="11"/>
        </w:numPr>
        <w:spacing w:before="120" w:after="120"/>
        <w:contextualSpacing w:val="0"/>
        <w:jc w:val="both"/>
        <w:rPr>
          <w:rFonts w:ascii="Times New Roman" w:hAnsi="Times New Roman"/>
          <w:sz w:val="24"/>
          <w:szCs w:val="24"/>
        </w:rPr>
      </w:pPr>
      <w:r w:rsidRPr="001A7055">
        <w:rPr>
          <w:rFonts w:ascii="Times New Roman" w:hAnsi="Times New Roman"/>
          <w:sz w:val="24"/>
          <w:szCs w:val="24"/>
        </w:rPr>
        <w:t xml:space="preserve">Varsayım geliştirmek ve uygulamak için kullanılan yöntemler. </w:t>
      </w:r>
    </w:p>
    <w:p w:rsidR="00117E9F" w:rsidRPr="001A7055" w:rsidRDefault="00117E9F" w:rsidP="008A2AA9">
      <w:pPr>
        <w:pStyle w:val="ListParagraph"/>
        <w:numPr>
          <w:ilvl w:val="0"/>
          <w:numId w:val="11"/>
        </w:numPr>
        <w:spacing w:before="120" w:after="120"/>
        <w:contextualSpacing w:val="0"/>
        <w:jc w:val="both"/>
        <w:rPr>
          <w:rFonts w:ascii="Times New Roman" w:hAnsi="Times New Roman"/>
          <w:sz w:val="24"/>
          <w:szCs w:val="24"/>
        </w:rPr>
      </w:pPr>
      <w:r w:rsidRPr="001A7055">
        <w:rPr>
          <w:rFonts w:ascii="Times New Roman" w:hAnsi="Times New Roman"/>
          <w:sz w:val="24"/>
          <w:szCs w:val="24"/>
        </w:rPr>
        <w:t>Önceki dönemlerde hazırlanan ileriye yönelik finansal bilgilerin doğruluğu ve önemli sapmaların gerekçeleri.</w:t>
      </w:r>
    </w:p>
    <w:p w:rsidR="00117E9F" w:rsidRPr="001A7055" w:rsidRDefault="00117E9F" w:rsidP="008A2AA9">
      <w:pPr>
        <w:pStyle w:val="ListParagraph"/>
        <w:numPr>
          <w:ilvl w:val="0"/>
          <w:numId w:val="1"/>
        </w:numPr>
        <w:spacing w:before="120" w:after="120"/>
        <w:contextualSpacing w:val="0"/>
        <w:jc w:val="both"/>
        <w:rPr>
          <w:rFonts w:ascii="Times New Roman" w:hAnsi="Times New Roman"/>
          <w:sz w:val="24"/>
          <w:szCs w:val="24"/>
        </w:rPr>
      </w:pPr>
      <w:r w:rsidRPr="001A7055">
        <w:rPr>
          <w:rFonts w:ascii="Times New Roman" w:hAnsi="Times New Roman"/>
          <w:b/>
          <w:sz w:val="24"/>
          <w:szCs w:val="24"/>
        </w:rPr>
        <w:t xml:space="preserve">Denetçi, işletmenin </w:t>
      </w:r>
      <w:r>
        <w:rPr>
          <w:rFonts w:ascii="Times New Roman" w:hAnsi="Times New Roman"/>
          <w:b/>
          <w:sz w:val="24"/>
          <w:szCs w:val="24"/>
        </w:rPr>
        <w:t>tarihî</w:t>
      </w:r>
      <w:r w:rsidRPr="001A7055">
        <w:rPr>
          <w:rFonts w:ascii="Times New Roman" w:hAnsi="Times New Roman"/>
          <w:b/>
          <w:sz w:val="24"/>
          <w:szCs w:val="24"/>
        </w:rPr>
        <w:t xml:space="preserve"> finansal bilgilerinin güvenilirliğinin ne düzeyde doğrulandığını dikkate alır.</w:t>
      </w:r>
      <w:r w:rsidRPr="001A7055">
        <w:rPr>
          <w:rFonts w:ascii="Times New Roman" w:hAnsi="Times New Roman"/>
          <w:sz w:val="24"/>
          <w:szCs w:val="24"/>
        </w:rPr>
        <w:t xml:space="preserve"> Denetçinin, ileriye yönelik finansal bilgilerin </w:t>
      </w:r>
      <w:r>
        <w:rPr>
          <w:rFonts w:ascii="Times New Roman" w:hAnsi="Times New Roman"/>
          <w:sz w:val="24"/>
          <w:szCs w:val="24"/>
        </w:rPr>
        <w:t>tarihî</w:t>
      </w:r>
      <w:r w:rsidRPr="001A7055">
        <w:rPr>
          <w:rFonts w:ascii="Times New Roman" w:hAnsi="Times New Roman"/>
          <w:sz w:val="24"/>
          <w:szCs w:val="24"/>
        </w:rPr>
        <w:t xml:space="preserve"> finansal bilgilerle tutarlı bir temele dayanarak hazırlanıp hazırlanmadığını değerlendirmek ve yönetimin varsayımlarının değerlendirilmesine yönelik tarihsel bir ölçüt sağlamak için işletmenin </w:t>
      </w:r>
      <w:r>
        <w:rPr>
          <w:rFonts w:ascii="Times New Roman" w:hAnsi="Times New Roman"/>
          <w:sz w:val="24"/>
          <w:szCs w:val="24"/>
        </w:rPr>
        <w:t>tarihî</w:t>
      </w:r>
      <w:r w:rsidRPr="001A7055">
        <w:rPr>
          <w:rFonts w:ascii="Times New Roman" w:hAnsi="Times New Roman"/>
          <w:sz w:val="24"/>
          <w:szCs w:val="24"/>
        </w:rPr>
        <w:t xml:space="preserve"> finansal bilgileri hakkında bilgi sahibi olması gerekir. Denetçinin ilgili geçmiş bilgilerin bağımsız denetim veya sınırlı bağımsız denetimden geçip geçmediğini ve hazırlanmaları sırasında </w:t>
      </w:r>
      <w:r>
        <w:rPr>
          <w:rFonts w:ascii="Times New Roman" w:hAnsi="Times New Roman"/>
          <w:sz w:val="24"/>
          <w:szCs w:val="24"/>
        </w:rPr>
        <w:t xml:space="preserve">geçerli </w:t>
      </w:r>
      <w:r w:rsidRPr="001A7055">
        <w:rPr>
          <w:rFonts w:ascii="Times New Roman" w:hAnsi="Times New Roman"/>
          <w:sz w:val="24"/>
          <w:szCs w:val="24"/>
        </w:rPr>
        <w:t xml:space="preserve">muhasebe </w:t>
      </w:r>
      <w:r>
        <w:rPr>
          <w:rFonts w:ascii="Times New Roman" w:hAnsi="Times New Roman"/>
          <w:sz w:val="24"/>
          <w:szCs w:val="24"/>
        </w:rPr>
        <w:t xml:space="preserve">ilke ve </w:t>
      </w:r>
      <w:r>
        <w:rPr>
          <w:rFonts w:ascii="Times New Roman" w:hAnsi="Times New Roman"/>
          <w:sz w:val="24"/>
          <w:szCs w:val="24"/>
          <w:shd w:val="clear" w:color="auto" w:fill="FFFFFF"/>
        </w:rPr>
        <w:t>kurallarının</w:t>
      </w:r>
      <w:r>
        <w:rPr>
          <w:rFonts w:ascii="Times New Roman" w:hAnsi="Times New Roman"/>
          <w:sz w:val="24"/>
          <w:szCs w:val="24"/>
        </w:rPr>
        <w:t xml:space="preserve"> </w:t>
      </w:r>
      <w:r w:rsidRPr="001A7055">
        <w:rPr>
          <w:rFonts w:ascii="Times New Roman" w:hAnsi="Times New Roman"/>
          <w:sz w:val="24"/>
          <w:szCs w:val="24"/>
        </w:rPr>
        <w:t xml:space="preserve">kullanılıp kullanılmadığını belirlemesi gerekir. </w:t>
      </w:r>
    </w:p>
    <w:p w:rsidR="00117E9F" w:rsidRPr="001A7055" w:rsidRDefault="00117E9F" w:rsidP="008A2AA9">
      <w:pPr>
        <w:pStyle w:val="ListParagraph"/>
        <w:numPr>
          <w:ilvl w:val="0"/>
          <w:numId w:val="1"/>
        </w:numPr>
        <w:spacing w:before="120" w:after="120"/>
        <w:contextualSpacing w:val="0"/>
        <w:jc w:val="both"/>
        <w:rPr>
          <w:rFonts w:ascii="Times New Roman" w:hAnsi="Times New Roman"/>
          <w:sz w:val="24"/>
          <w:szCs w:val="24"/>
        </w:rPr>
      </w:pPr>
      <w:r w:rsidRPr="001A7055">
        <w:rPr>
          <w:rFonts w:ascii="Times New Roman" w:hAnsi="Times New Roman"/>
          <w:sz w:val="24"/>
          <w:szCs w:val="24"/>
        </w:rPr>
        <w:t xml:space="preserve">Önceki döneme ait </w:t>
      </w:r>
      <w:r>
        <w:rPr>
          <w:rFonts w:ascii="Times New Roman" w:hAnsi="Times New Roman"/>
          <w:sz w:val="24"/>
          <w:szCs w:val="24"/>
        </w:rPr>
        <w:t>tarihî</w:t>
      </w:r>
      <w:r w:rsidRPr="001A7055">
        <w:rPr>
          <w:rFonts w:ascii="Times New Roman" w:hAnsi="Times New Roman"/>
          <w:sz w:val="24"/>
          <w:szCs w:val="24"/>
        </w:rPr>
        <w:t xml:space="preserve"> finansal bilgilere ilişkin bir bağımsız denetim veya sınırlı bağımsız denetim raporunun olumlu görüş içermemesi veya işletmenin henüz kuruluş aşamasında olması durumunda</w:t>
      </w:r>
      <w:r>
        <w:rPr>
          <w:rFonts w:ascii="Times New Roman" w:hAnsi="Times New Roman"/>
          <w:sz w:val="24"/>
          <w:szCs w:val="24"/>
        </w:rPr>
        <w:t>,</w:t>
      </w:r>
      <w:r w:rsidRPr="001A7055">
        <w:rPr>
          <w:rFonts w:ascii="Times New Roman" w:hAnsi="Times New Roman"/>
          <w:sz w:val="24"/>
          <w:szCs w:val="24"/>
        </w:rPr>
        <w:t xml:space="preserve"> denetçi bu durumla ilgili gerçekleri</w:t>
      </w:r>
      <w:r>
        <w:rPr>
          <w:rFonts w:ascii="Times New Roman" w:hAnsi="Times New Roman"/>
          <w:sz w:val="24"/>
          <w:szCs w:val="24"/>
        </w:rPr>
        <w:t xml:space="preserve"> (bilgileri)</w:t>
      </w:r>
      <w:r w:rsidRPr="001A7055">
        <w:rPr>
          <w:rFonts w:ascii="Times New Roman" w:hAnsi="Times New Roman"/>
          <w:sz w:val="24"/>
          <w:szCs w:val="24"/>
        </w:rPr>
        <w:t xml:space="preserve"> ve bunların ileriye yönelik finansal bilgilerin incelenmesi üzerindeki etkisini değerlendirir. </w:t>
      </w:r>
    </w:p>
    <w:p w:rsidR="00117E9F" w:rsidRPr="001A7055" w:rsidRDefault="00117E9F" w:rsidP="008A2AA9">
      <w:pPr>
        <w:spacing w:before="120" w:after="120"/>
        <w:jc w:val="both"/>
        <w:rPr>
          <w:rFonts w:ascii="Times New Roman" w:hAnsi="Times New Roman"/>
          <w:b/>
          <w:sz w:val="28"/>
          <w:szCs w:val="28"/>
        </w:rPr>
      </w:pPr>
      <w:r w:rsidRPr="001A7055">
        <w:rPr>
          <w:rFonts w:ascii="Times New Roman" w:hAnsi="Times New Roman"/>
          <w:b/>
          <w:sz w:val="28"/>
          <w:szCs w:val="28"/>
        </w:rPr>
        <w:t xml:space="preserve">Kapsanan Dönem </w:t>
      </w:r>
    </w:p>
    <w:p w:rsidR="00117E9F" w:rsidRPr="001A7055" w:rsidRDefault="00117E9F" w:rsidP="008A2AA9">
      <w:pPr>
        <w:pStyle w:val="ListParagraph"/>
        <w:numPr>
          <w:ilvl w:val="0"/>
          <w:numId w:val="1"/>
        </w:numPr>
        <w:spacing w:before="120" w:after="120"/>
        <w:contextualSpacing w:val="0"/>
        <w:jc w:val="both"/>
        <w:rPr>
          <w:rFonts w:ascii="Times New Roman" w:hAnsi="Times New Roman"/>
          <w:sz w:val="24"/>
          <w:szCs w:val="24"/>
        </w:rPr>
      </w:pPr>
      <w:r w:rsidRPr="00D03A11">
        <w:rPr>
          <w:rFonts w:ascii="Times New Roman" w:hAnsi="Times New Roman"/>
          <w:b/>
          <w:sz w:val="24"/>
          <w:szCs w:val="24"/>
        </w:rPr>
        <w:t>Denetçi</w:t>
      </w:r>
      <w:r>
        <w:rPr>
          <w:rFonts w:ascii="Times New Roman" w:hAnsi="Times New Roman"/>
          <w:b/>
          <w:sz w:val="24"/>
          <w:szCs w:val="24"/>
        </w:rPr>
        <w:t>,</w:t>
      </w:r>
      <w:r w:rsidRPr="00D03A11">
        <w:rPr>
          <w:rFonts w:ascii="Times New Roman" w:hAnsi="Times New Roman"/>
          <w:b/>
          <w:sz w:val="24"/>
          <w:szCs w:val="24"/>
        </w:rPr>
        <w:t xml:space="preserve"> ileriye yönelik finansal bilgilerin kapsadığı zaman dilimini dikkate alır. </w:t>
      </w:r>
      <w:r w:rsidRPr="001A7055">
        <w:rPr>
          <w:rFonts w:ascii="Times New Roman" w:hAnsi="Times New Roman"/>
          <w:sz w:val="24"/>
          <w:szCs w:val="24"/>
        </w:rPr>
        <w:t xml:space="preserve">Kapsanan dönem uzadıkça varsayımlar daha spekülatif hale geldiğinden, bu dönemin uzaması, yönetimin en iyi tahmine dayalı varsayımlarda bulunma kabiliyetini azaltır. Kapsanan dönem, yönetimin varsayımlar için makul bir dayanağa sahip olduğu dönemi aşamaz. </w:t>
      </w:r>
      <w:r>
        <w:rPr>
          <w:rFonts w:ascii="Times New Roman" w:hAnsi="Times New Roman"/>
          <w:sz w:val="24"/>
          <w:szCs w:val="24"/>
        </w:rPr>
        <w:t>D</w:t>
      </w:r>
      <w:r w:rsidRPr="001A7055">
        <w:rPr>
          <w:rFonts w:ascii="Times New Roman" w:hAnsi="Times New Roman"/>
          <w:sz w:val="24"/>
          <w:szCs w:val="24"/>
        </w:rPr>
        <w:t xml:space="preserve">enetçinin ileriye yönelik finansal bilgilerin kapsadığı döneme ilişkin yaptığı değerlendirmeyle ilgili bazı faktörler aşağıda yer almaktadır: </w:t>
      </w:r>
    </w:p>
    <w:p w:rsidR="00117E9F" w:rsidRPr="001A7055" w:rsidRDefault="00117E9F" w:rsidP="008A2AA9">
      <w:pPr>
        <w:pStyle w:val="ListParagraph"/>
        <w:numPr>
          <w:ilvl w:val="0"/>
          <w:numId w:val="13"/>
        </w:numPr>
        <w:spacing w:before="120" w:after="120"/>
        <w:contextualSpacing w:val="0"/>
        <w:jc w:val="both"/>
        <w:rPr>
          <w:rFonts w:ascii="Times New Roman" w:hAnsi="Times New Roman"/>
          <w:sz w:val="24"/>
          <w:szCs w:val="24"/>
        </w:rPr>
      </w:pPr>
      <w:r w:rsidRPr="001A7055">
        <w:rPr>
          <w:rFonts w:ascii="Times New Roman" w:hAnsi="Times New Roman"/>
          <w:sz w:val="24"/>
          <w:szCs w:val="24"/>
        </w:rPr>
        <w:t>Faaliyet döngüsü. Örneğin</w:t>
      </w:r>
      <w:r>
        <w:rPr>
          <w:rFonts w:ascii="Times New Roman" w:hAnsi="Times New Roman"/>
          <w:sz w:val="24"/>
          <w:szCs w:val="24"/>
        </w:rPr>
        <w:t>;</w:t>
      </w:r>
      <w:r w:rsidRPr="001A7055">
        <w:rPr>
          <w:rFonts w:ascii="Times New Roman" w:hAnsi="Times New Roman"/>
          <w:sz w:val="24"/>
          <w:szCs w:val="24"/>
        </w:rPr>
        <w:t xml:space="preserve"> büyük bir inşaat projesinde, projeyi tamamlamak için gereken süre kapsanan dönemi belirleyebilir. </w:t>
      </w:r>
    </w:p>
    <w:p w:rsidR="00117E9F" w:rsidRPr="001A7055" w:rsidRDefault="00117E9F" w:rsidP="008A2AA9">
      <w:pPr>
        <w:pStyle w:val="ListParagraph"/>
        <w:numPr>
          <w:ilvl w:val="0"/>
          <w:numId w:val="13"/>
        </w:numPr>
        <w:spacing w:before="120" w:after="120"/>
        <w:contextualSpacing w:val="0"/>
        <w:jc w:val="both"/>
        <w:rPr>
          <w:rFonts w:ascii="Times New Roman" w:hAnsi="Times New Roman"/>
          <w:sz w:val="24"/>
          <w:szCs w:val="24"/>
        </w:rPr>
      </w:pPr>
      <w:r w:rsidRPr="001A7055">
        <w:rPr>
          <w:rFonts w:ascii="Times New Roman" w:hAnsi="Times New Roman"/>
          <w:sz w:val="24"/>
          <w:szCs w:val="24"/>
        </w:rPr>
        <w:t>Varsayımların</w:t>
      </w:r>
      <w:r>
        <w:rPr>
          <w:rFonts w:ascii="Times New Roman" w:hAnsi="Times New Roman"/>
          <w:sz w:val="24"/>
          <w:szCs w:val="24"/>
        </w:rPr>
        <w:t xml:space="preserve"> </w:t>
      </w:r>
      <w:r w:rsidRPr="001A7055">
        <w:rPr>
          <w:rFonts w:ascii="Times New Roman" w:hAnsi="Times New Roman"/>
          <w:sz w:val="24"/>
          <w:szCs w:val="24"/>
        </w:rPr>
        <w:t>güvenilirlik derecesi. Örneğin</w:t>
      </w:r>
      <w:r>
        <w:rPr>
          <w:rFonts w:ascii="Times New Roman" w:hAnsi="Times New Roman"/>
          <w:sz w:val="24"/>
          <w:szCs w:val="24"/>
        </w:rPr>
        <w:t>;</w:t>
      </w:r>
      <w:r w:rsidRPr="001A7055">
        <w:rPr>
          <w:rFonts w:ascii="Times New Roman" w:hAnsi="Times New Roman"/>
          <w:sz w:val="24"/>
          <w:szCs w:val="24"/>
        </w:rPr>
        <w:t xml:space="preserve"> işletmenin piyasaya yeni bir ürün sunması durumunda, kapsanan -gelecekteki- dönem kısa olabilir ve hatta aylar veya haftalar şeklinde daha kısa bölümlere ayrılabilir. Bundan farklı olarak, işletmenin tek faaliyeti uzun vadeli kiralanmış bir varlığa sahip olmaksa, kapsanan- gelecekteki- dönemin daha uzun olması makul olabilir. </w:t>
      </w:r>
    </w:p>
    <w:p w:rsidR="00117E9F" w:rsidRPr="001A7055" w:rsidRDefault="00117E9F" w:rsidP="008A2AA9">
      <w:pPr>
        <w:pStyle w:val="ListParagraph"/>
        <w:numPr>
          <w:ilvl w:val="0"/>
          <w:numId w:val="13"/>
        </w:numPr>
        <w:spacing w:before="120" w:after="120"/>
        <w:contextualSpacing w:val="0"/>
        <w:jc w:val="both"/>
        <w:rPr>
          <w:rFonts w:ascii="Times New Roman" w:hAnsi="Times New Roman"/>
          <w:sz w:val="24"/>
          <w:szCs w:val="24"/>
        </w:rPr>
      </w:pPr>
      <w:r w:rsidRPr="001A7055">
        <w:rPr>
          <w:rFonts w:ascii="Times New Roman" w:hAnsi="Times New Roman"/>
          <w:sz w:val="24"/>
          <w:szCs w:val="24"/>
        </w:rPr>
        <w:t>Kullanıcıların ihtiyaçları. Örneğin</w:t>
      </w:r>
      <w:r>
        <w:rPr>
          <w:rFonts w:ascii="Times New Roman" w:hAnsi="Times New Roman"/>
          <w:sz w:val="24"/>
          <w:szCs w:val="24"/>
        </w:rPr>
        <w:t>;</w:t>
      </w:r>
      <w:r w:rsidRPr="001A7055">
        <w:rPr>
          <w:rFonts w:ascii="Times New Roman" w:hAnsi="Times New Roman"/>
          <w:sz w:val="24"/>
          <w:szCs w:val="24"/>
        </w:rPr>
        <w:t xml:space="preserve"> ileriye yönelik finansal bilgiler, geri ödeme </w:t>
      </w:r>
      <w:r>
        <w:rPr>
          <w:rFonts w:ascii="Times New Roman" w:hAnsi="Times New Roman"/>
          <w:sz w:val="24"/>
          <w:szCs w:val="24"/>
        </w:rPr>
        <w:t>amacıyla</w:t>
      </w:r>
      <w:r w:rsidRPr="001A7055">
        <w:rPr>
          <w:rFonts w:ascii="Times New Roman" w:hAnsi="Times New Roman"/>
          <w:sz w:val="24"/>
          <w:szCs w:val="24"/>
        </w:rPr>
        <w:t xml:space="preserve"> yeterli fonun oluşturulmasında gerekli olan dönem için</w:t>
      </w:r>
      <w:r>
        <w:rPr>
          <w:rFonts w:ascii="Times New Roman" w:hAnsi="Times New Roman"/>
          <w:sz w:val="24"/>
          <w:szCs w:val="24"/>
        </w:rPr>
        <w:t>,</w:t>
      </w:r>
      <w:r w:rsidRPr="001A7055">
        <w:rPr>
          <w:rFonts w:ascii="Times New Roman" w:hAnsi="Times New Roman"/>
          <w:sz w:val="24"/>
          <w:szCs w:val="24"/>
        </w:rPr>
        <w:t xml:space="preserve"> yapılan bir kredi başvurusuyla bağlantılı olarak hazırlanabilir. Alternatif olarak bilgiler, yatırımcılara yönelik olarak, sonraki döneme ait kazancın </w:t>
      </w:r>
      <w:r>
        <w:rPr>
          <w:rFonts w:ascii="Times New Roman" w:hAnsi="Times New Roman"/>
          <w:sz w:val="24"/>
          <w:szCs w:val="24"/>
        </w:rPr>
        <w:t xml:space="preserve">istenilen </w:t>
      </w:r>
      <w:r w:rsidRPr="001A7055">
        <w:rPr>
          <w:rFonts w:ascii="Times New Roman" w:hAnsi="Times New Roman"/>
          <w:sz w:val="24"/>
          <w:szCs w:val="24"/>
        </w:rPr>
        <w:t xml:space="preserve"> (planlanan) kullanımını göstermek amacıyla borçlanma araçlarının satışıyla bağlantılı olarak hazırlanabilir.</w:t>
      </w:r>
    </w:p>
    <w:p w:rsidR="00117E9F" w:rsidRPr="001A7055" w:rsidRDefault="00117E9F" w:rsidP="008A2AA9">
      <w:pPr>
        <w:spacing w:before="120" w:after="120"/>
        <w:jc w:val="both"/>
        <w:rPr>
          <w:rFonts w:ascii="Times New Roman" w:hAnsi="Times New Roman"/>
          <w:b/>
          <w:sz w:val="28"/>
          <w:szCs w:val="28"/>
        </w:rPr>
      </w:pPr>
      <w:r w:rsidRPr="001A7055">
        <w:rPr>
          <w:rFonts w:ascii="Times New Roman" w:hAnsi="Times New Roman"/>
          <w:b/>
          <w:sz w:val="28"/>
          <w:szCs w:val="28"/>
        </w:rPr>
        <w:t xml:space="preserve">İnceleme Prosedürleri </w:t>
      </w:r>
    </w:p>
    <w:p w:rsidR="00117E9F" w:rsidRPr="00D03A11" w:rsidRDefault="00117E9F" w:rsidP="008A2AA9">
      <w:pPr>
        <w:pStyle w:val="ListParagraph"/>
        <w:numPr>
          <w:ilvl w:val="0"/>
          <w:numId w:val="1"/>
        </w:numPr>
        <w:spacing w:before="120" w:after="120"/>
        <w:contextualSpacing w:val="0"/>
        <w:jc w:val="both"/>
        <w:rPr>
          <w:rFonts w:ascii="Times New Roman" w:hAnsi="Times New Roman"/>
          <w:b/>
          <w:sz w:val="24"/>
          <w:szCs w:val="24"/>
        </w:rPr>
      </w:pPr>
      <w:r w:rsidRPr="00D03A11">
        <w:rPr>
          <w:rFonts w:ascii="Times New Roman" w:hAnsi="Times New Roman"/>
          <w:b/>
          <w:sz w:val="24"/>
          <w:szCs w:val="24"/>
        </w:rPr>
        <w:t xml:space="preserve">Denetçi inceleme prosedürlerinin niteliğini, zamanlamasını ve kapsamını belirlerken aşağıdaki hususları dikkate alır: </w:t>
      </w:r>
    </w:p>
    <w:p w:rsidR="00117E9F" w:rsidRPr="00D03A11" w:rsidRDefault="00117E9F" w:rsidP="008A2AA9">
      <w:pPr>
        <w:pStyle w:val="ListParagraph"/>
        <w:numPr>
          <w:ilvl w:val="0"/>
          <w:numId w:val="28"/>
        </w:numPr>
        <w:spacing w:before="120" w:after="120"/>
        <w:ind w:left="1276" w:hanging="567"/>
        <w:contextualSpacing w:val="0"/>
        <w:jc w:val="both"/>
        <w:rPr>
          <w:rFonts w:ascii="Times New Roman" w:hAnsi="Times New Roman"/>
          <w:b/>
          <w:sz w:val="24"/>
          <w:szCs w:val="24"/>
        </w:rPr>
      </w:pPr>
      <w:r w:rsidRPr="00D03A11">
        <w:rPr>
          <w:rFonts w:ascii="Times New Roman" w:hAnsi="Times New Roman"/>
          <w:b/>
          <w:sz w:val="24"/>
          <w:szCs w:val="24"/>
        </w:rPr>
        <w:t>“Önemli yanlışlık” ihtimali,</w:t>
      </w:r>
    </w:p>
    <w:p w:rsidR="00117E9F" w:rsidRPr="00D03A11" w:rsidRDefault="00117E9F" w:rsidP="008A2AA9">
      <w:pPr>
        <w:pStyle w:val="ListParagraph"/>
        <w:numPr>
          <w:ilvl w:val="0"/>
          <w:numId w:val="28"/>
        </w:numPr>
        <w:spacing w:before="120" w:after="120"/>
        <w:ind w:left="1276" w:hanging="567"/>
        <w:contextualSpacing w:val="0"/>
        <w:jc w:val="both"/>
        <w:rPr>
          <w:rFonts w:ascii="Times New Roman" w:hAnsi="Times New Roman"/>
          <w:b/>
          <w:sz w:val="24"/>
          <w:szCs w:val="24"/>
        </w:rPr>
      </w:pPr>
      <w:r w:rsidRPr="00D03A11">
        <w:rPr>
          <w:rFonts w:ascii="Times New Roman" w:hAnsi="Times New Roman"/>
          <w:b/>
          <w:sz w:val="24"/>
          <w:szCs w:val="24"/>
        </w:rPr>
        <w:t xml:space="preserve">Önceki denetimler ve hizmetler sırasında elde edilen bilgiler, </w:t>
      </w:r>
    </w:p>
    <w:p w:rsidR="00117E9F" w:rsidRPr="001A7055" w:rsidRDefault="00117E9F" w:rsidP="008A2AA9">
      <w:pPr>
        <w:pStyle w:val="ListParagraph"/>
        <w:numPr>
          <w:ilvl w:val="0"/>
          <w:numId w:val="28"/>
        </w:numPr>
        <w:spacing w:before="120" w:after="120"/>
        <w:ind w:left="1276" w:hanging="567"/>
        <w:contextualSpacing w:val="0"/>
        <w:jc w:val="both"/>
        <w:rPr>
          <w:rFonts w:ascii="Times New Roman" w:hAnsi="Times New Roman"/>
          <w:sz w:val="24"/>
          <w:szCs w:val="24"/>
        </w:rPr>
      </w:pPr>
      <w:r w:rsidRPr="00D03A11">
        <w:rPr>
          <w:rFonts w:ascii="Times New Roman" w:hAnsi="Times New Roman"/>
          <w:b/>
          <w:sz w:val="24"/>
          <w:szCs w:val="24"/>
        </w:rPr>
        <w:t>Yönetimin ileriye yönelik finansal bilgilerin hazırlanması konusundaki yeterliği,</w:t>
      </w:r>
      <w:r w:rsidRPr="001A7055">
        <w:rPr>
          <w:rFonts w:ascii="Times New Roman" w:hAnsi="Times New Roman"/>
          <w:sz w:val="24"/>
          <w:szCs w:val="24"/>
        </w:rPr>
        <w:t xml:space="preserve"> </w:t>
      </w:r>
    </w:p>
    <w:p w:rsidR="00117E9F" w:rsidRPr="00D03A11" w:rsidRDefault="00117E9F" w:rsidP="008A2AA9">
      <w:pPr>
        <w:spacing w:before="120" w:after="120"/>
        <w:ind w:left="1276" w:hanging="567"/>
        <w:jc w:val="both"/>
        <w:rPr>
          <w:rFonts w:ascii="Times New Roman" w:hAnsi="Times New Roman"/>
          <w:b/>
          <w:sz w:val="24"/>
          <w:szCs w:val="24"/>
        </w:rPr>
      </w:pPr>
      <w:r w:rsidRPr="001A7055">
        <w:rPr>
          <w:rFonts w:ascii="Times New Roman" w:hAnsi="Times New Roman"/>
          <w:sz w:val="24"/>
          <w:szCs w:val="24"/>
        </w:rPr>
        <w:t xml:space="preserve">(ç)  </w:t>
      </w:r>
      <w:r w:rsidRPr="001A7055">
        <w:rPr>
          <w:rFonts w:ascii="Times New Roman" w:hAnsi="Times New Roman"/>
          <w:sz w:val="24"/>
          <w:szCs w:val="24"/>
        </w:rPr>
        <w:tab/>
      </w:r>
      <w:r w:rsidRPr="00D03A11">
        <w:rPr>
          <w:rFonts w:ascii="Times New Roman" w:hAnsi="Times New Roman"/>
          <w:b/>
          <w:sz w:val="24"/>
          <w:szCs w:val="24"/>
        </w:rPr>
        <w:t xml:space="preserve">İleriye yönelik finansal bilgilerin yönetimin muhakemesinden etkilenme düzeyi ve </w:t>
      </w:r>
    </w:p>
    <w:p w:rsidR="00117E9F" w:rsidRPr="00D03A11" w:rsidRDefault="00117E9F" w:rsidP="008A2AA9">
      <w:pPr>
        <w:pStyle w:val="ListParagraph"/>
        <w:numPr>
          <w:ilvl w:val="0"/>
          <w:numId w:val="28"/>
        </w:numPr>
        <w:spacing w:before="120" w:after="120"/>
        <w:ind w:left="1276" w:hanging="567"/>
        <w:contextualSpacing w:val="0"/>
        <w:jc w:val="both"/>
        <w:rPr>
          <w:rFonts w:ascii="Times New Roman" w:hAnsi="Times New Roman"/>
          <w:b/>
          <w:sz w:val="24"/>
          <w:szCs w:val="24"/>
        </w:rPr>
      </w:pPr>
      <w:r w:rsidRPr="00D03A11">
        <w:rPr>
          <w:rFonts w:ascii="Times New Roman" w:hAnsi="Times New Roman"/>
          <w:b/>
          <w:sz w:val="24"/>
          <w:szCs w:val="24"/>
        </w:rPr>
        <w:t xml:space="preserve">Dayanak </w:t>
      </w:r>
      <w:r>
        <w:rPr>
          <w:rFonts w:ascii="Times New Roman" w:hAnsi="Times New Roman"/>
          <w:b/>
          <w:sz w:val="24"/>
          <w:szCs w:val="24"/>
        </w:rPr>
        <w:t xml:space="preserve">-temel- </w:t>
      </w:r>
      <w:r w:rsidRPr="00D03A11">
        <w:rPr>
          <w:rFonts w:ascii="Times New Roman" w:hAnsi="Times New Roman"/>
          <w:b/>
          <w:sz w:val="24"/>
          <w:szCs w:val="24"/>
        </w:rPr>
        <w:t>verilerin güvenilirliği ve yeterliliği.</w:t>
      </w:r>
    </w:p>
    <w:p w:rsidR="00117E9F" w:rsidRPr="001A7055" w:rsidRDefault="00117E9F" w:rsidP="008A2AA9">
      <w:pPr>
        <w:pStyle w:val="ListParagraph"/>
        <w:numPr>
          <w:ilvl w:val="0"/>
          <w:numId w:val="1"/>
        </w:numPr>
        <w:spacing w:before="120" w:after="120"/>
        <w:contextualSpacing w:val="0"/>
        <w:jc w:val="both"/>
        <w:rPr>
          <w:rFonts w:ascii="Times New Roman" w:hAnsi="Times New Roman"/>
          <w:sz w:val="24"/>
          <w:szCs w:val="24"/>
        </w:rPr>
      </w:pPr>
      <w:r w:rsidRPr="001A7055">
        <w:rPr>
          <w:rFonts w:ascii="Times New Roman" w:hAnsi="Times New Roman"/>
          <w:sz w:val="24"/>
          <w:szCs w:val="24"/>
        </w:rPr>
        <w:t>Denetçi</w:t>
      </w:r>
      <w:r>
        <w:rPr>
          <w:rFonts w:ascii="Times New Roman" w:hAnsi="Times New Roman"/>
          <w:sz w:val="24"/>
          <w:szCs w:val="24"/>
        </w:rPr>
        <w:t>,</w:t>
      </w:r>
      <w:r w:rsidRPr="001A7055">
        <w:rPr>
          <w:rFonts w:ascii="Times New Roman" w:hAnsi="Times New Roman"/>
          <w:sz w:val="24"/>
          <w:szCs w:val="24"/>
        </w:rPr>
        <w:t xml:space="preserve"> yönetimin en iyi tahmine dayalı varsayımlarını destekleyen kanıtların kaynağını ve güvenilirliğini değerlendirir. Bu tür varsayımları destekleyen yeterli ve uygun kanıtlar, varsayımların </w:t>
      </w:r>
      <w:r>
        <w:rPr>
          <w:rFonts w:ascii="Times New Roman" w:hAnsi="Times New Roman"/>
          <w:sz w:val="24"/>
          <w:szCs w:val="24"/>
        </w:rPr>
        <w:t>tarihî</w:t>
      </w:r>
      <w:r w:rsidRPr="001A7055">
        <w:rPr>
          <w:rFonts w:ascii="Times New Roman" w:hAnsi="Times New Roman"/>
          <w:sz w:val="24"/>
          <w:szCs w:val="24"/>
        </w:rPr>
        <w:t xml:space="preserve"> bilgiler ışığında dikkate alınması ve bu varsayımların işletme kapasitesi kapsamındaki planlara dayanıp dayanmadığının değerlendirilmesi de dâhil olmak üzere iç ve dış kaynaklardan elde edilir. </w:t>
      </w:r>
    </w:p>
    <w:p w:rsidR="00117E9F" w:rsidRPr="001A7055" w:rsidRDefault="00117E9F" w:rsidP="008A2AA9">
      <w:pPr>
        <w:pStyle w:val="ListParagraph"/>
        <w:numPr>
          <w:ilvl w:val="0"/>
          <w:numId w:val="1"/>
        </w:numPr>
        <w:spacing w:before="120" w:after="120"/>
        <w:contextualSpacing w:val="0"/>
        <w:jc w:val="both"/>
        <w:rPr>
          <w:rFonts w:ascii="Times New Roman" w:hAnsi="Times New Roman"/>
          <w:sz w:val="24"/>
          <w:szCs w:val="24"/>
        </w:rPr>
      </w:pPr>
      <w:r w:rsidRPr="001A7055">
        <w:rPr>
          <w:rFonts w:ascii="Times New Roman" w:hAnsi="Times New Roman"/>
          <w:sz w:val="24"/>
          <w:szCs w:val="24"/>
        </w:rPr>
        <w:t>Hipoteze dayalı varsayımlardan faydalanılması durumunda denetçi, bu varsayımların tüm önemli yansımalarının dikkate alınıp alınmadığını değerlendirir. Örneğin, satışların işletmenin mevcut tesis kapasitesinden fazla büyüyeceğinin varsayılması durumunda; ileriye yönelik finansal bilgilerin, ilave tesis kapasitesine yapılması gereken yatırımı veya taşeron üretim gibi beklenen satışları karşılamanın alternatif yollarının maliyetini de içermesi gerekir.</w:t>
      </w:r>
    </w:p>
    <w:p w:rsidR="00117E9F" w:rsidRPr="001A7055" w:rsidRDefault="00117E9F" w:rsidP="008A2AA9">
      <w:pPr>
        <w:pStyle w:val="ListParagraph"/>
        <w:numPr>
          <w:ilvl w:val="0"/>
          <w:numId w:val="1"/>
        </w:numPr>
        <w:spacing w:before="120" w:after="120"/>
        <w:contextualSpacing w:val="0"/>
        <w:jc w:val="both"/>
        <w:rPr>
          <w:rFonts w:ascii="Times New Roman" w:hAnsi="Times New Roman"/>
          <w:sz w:val="24"/>
          <w:szCs w:val="24"/>
        </w:rPr>
      </w:pPr>
      <w:r w:rsidRPr="001A7055">
        <w:rPr>
          <w:rFonts w:ascii="Times New Roman" w:hAnsi="Times New Roman"/>
          <w:sz w:val="24"/>
          <w:szCs w:val="24"/>
        </w:rPr>
        <w:t xml:space="preserve">Hipoteze dayalı varsayımları destekleyen kanıtların elde edilmesi </w:t>
      </w:r>
      <w:r w:rsidRPr="0029457D">
        <w:rPr>
          <w:rFonts w:ascii="Times New Roman" w:hAnsi="Times New Roman"/>
          <w:sz w:val="24"/>
          <w:szCs w:val="24"/>
        </w:rPr>
        <w:t>gerekmese dahi;</w:t>
      </w:r>
      <w:r w:rsidRPr="001A7055">
        <w:rPr>
          <w:rFonts w:ascii="Times New Roman" w:hAnsi="Times New Roman"/>
          <w:sz w:val="24"/>
          <w:szCs w:val="24"/>
        </w:rPr>
        <w:t xml:space="preserve"> denetçinin, bu varsayımların ileriye yönelik finansal bilgilerin amacına uygun olduğu ve açık bir şekilde gerçek dışı olduğu kanaatine varmasına yol açacak bir sebebin bulunmadığı hususunda tatmin olması gerekir. </w:t>
      </w:r>
    </w:p>
    <w:p w:rsidR="00117E9F" w:rsidRPr="001A7055" w:rsidRDefault="00117E9F" w:rsidP="008A2AA9">
      <w:pPr>
        <w:pStyle w:val="ListParagraph"/>
        <w:numPr>
          <w:ilvl w:val="0"/>
          <w:numId w:val="1"/>
        </w:numPr>
        <w:spacing w:before="120" w:after="120"/>
        <w:contextualSpacing w:val="0"/>
        <w:jc w:val="both"/>
        <w:rPr>
          <w:rFonts w:ascii="Times New Roman" w:hAnsi="Times New Roman"/>
          <w:sz w:val="24"/>
          <w:szCs w:val="24"/>
        </w:rPr>
      </w:pPr>
      <w:r w:rsidRPr="001A7055">
        <w:rPr>
          <w:rFonts w:ascii="Times New Roman" w:hAnsi="Times New Roman"/>
          <w:sz w:val="24"/>
          <w:szCs w:val="24"/>
        </w:rPr>
        <w:t>Denetçinin;</w:t>
      </w:r>
      <w:r>
        <w:rPr>
          <w:rFonts w:ascii="Times New Roman" w:hAnsi="Times New Roman"/>
          <w:sz w:val="24"/>
          <w:szCs w:val="24"/>
        </w:rPr>
        <w:t xml:space="preserve"> örneğin yeniden hesaplama, </w:t>
      </w:r>
      <w:r w:rsidRPr="001A7055">
        <w:rPr>
          <w:rFonts w:ascii="Times New Roman" w:hAnsi="Times New Roman"/>
          <w:sz w:val="24"/>
          <w:szCs w:val="24"/>
        </w:rPr>
        <w:t>iç tutarlılığı gözden geçirme gibi hesaplama/sayısal doğruluk kontrolleri yaparak ileriye yönelik finansal bilgilerin yönetimin varsayımlarına dayanarak doğru bir şekilde hazırlandığı, yönetimin planlanan eylemlerinin -atacağı adımların- birbiriyle uyumlu olduğu ve faiz oranları gibi genel değişkenlere dayanarak yapılan tutar tespitlerinde tutarsızlık olmadığı konusunda tatmin olması gerekir.</w:t>
      </w:r>
    </w:p>
    <w:p w:rsidR="00117E9F" w:rsidRPr="001A7055" w:rsidRDefault="00117E9F" w:rsidP="008A2AA9">
      <w:pPr>
        <w:pStyle w:val="ListParagraph"/>
        <w:numPr>
          <w:ilvl w:val="0"/>
          <w:numId w:val="1"/>
        </w:numPr>
        <w:spacing w:before="120" w:after="120"/>
        <w:contextualSpacing w:val="0"/>
        <w:jc w:val="both"/>
        <w:rPr>
          <w:rFonts w:ascii="Times New Roman" w:hAnsi="Times New Roman"/>
          <w:sz w:val="24"/>
          <w:szCs w:val="24"/>
        </w:rPr>
      </w:pPr>
      <w:r w:rsidRPr="001A7055">
        <w:rPr>
          <w:rFonts w:ascii="Times New Roman" w:hAnsi="Times New Roman"/>
          <w:sz w:val="24"/>
          <w:szCs w:val="24"/>
        </w:rPr>
        <w:t>Denetçi, sapmalara karşı özellikle duyarlı olan alanların</w:t>
      </w:r>
      <w:r>
        <w:rPr>
          <w:rFonts w:ascii="Times New Roman" w:hAnsi="Times New Roman"/>
          <w:sz w:val="24"/>
          <w:szCs w:val="24"/>
        </w:rPr>
        <w:t xml:space="preserve"> </w:t>
      </w:r>
      <w:r w:rsidRPr="001A7055">
        <w:rPr>
          <w:rFonts w:ascii="Times New Roman" w:hAnsi="Times New Roman"/>
          <w:sz w:val="24"/>
          <w:szCs w:val="24"/>
        </w:rPr>
        <w:t xml:space="preserve">ileriye yönelik finansal bilgilerde gösterilen sonuçlar üzerinde önemli bir etkiye sahip olma düzeyine odaklanır. Bu da denetçinin uygun kanıt arama düzeyini etkileyeceği gibi, aynı zamanda denetçinin açıklamaların uygunluğu ve yeterliliğine ilişkin değerlendirmesini de etkiler. </w:t>
      </w:r>
    </w:p>
    <w:p w:rsidR="00117E9F" w:rsidRPr="001A7055" w:rsidRDefault="00117E9F" w:rsidP="008A2AA9">
      <w:pPr>
        <w:pStyle w:val="ListParagraph"/>
        <w:numPr>
          <w:ilvl w:val="0"/>
          <w:numId w:val="1"/>
        </w:numPr>
        <w:spacing w:before="120" w:after="120"/>
        <w:contextualSpacing w:val="0"/>
        <w:jc w:val="both"/>
        <w:rPr>
          <w:rFonts w:ascii="Times New Roman" w:hAnsi="Times New Roman"/>
          <w:sz w:val="24"/>
          <w:szCs w:val="24"/>
        </w:rPr>
      </w:pPr>
      <w:r w:rsidRPr="001A7055">
        <w:rPr>
          <w:rFonts w:ascii="Times New Roman" w:hAnsi="Times New Roman"/>
          <w:sz w:val="24"/>
          <w:szCs w:val="24"/>
        </w:rPr>
        <w:t xml:space="preserve">Denetçi, ileriye yönelik finansal bilgilerin bir veya birden çok unsurunu incelemekle görevlendirilmesi durumunda </w:t>
      </w:r>
      <w:r>
        <w:rPr>
          <w:rFonts w:ascii="Times New Roman" w:hAnsi="Times New Roman"/>
          <w:sz w:val="24"/>
          <w:szCs w:val="24"/>
        </w:rPr>
        <w:t xml:space="preserve"> </w:t>
      </w:r>
      <w:r w:rsidRPr="001A7055">
        <w:rPr>
          <w:rFonts w:ascii="Times New Roman" w:hAnsi="Times New Roman"/>
          <w:sz w:val="24"/>
          <w:szCs w:val="24"/>
        </w:rPr>
        <w:t>(</w:t>
      </w:r>
      <w:r>
        <w:rPr>
          <w:rFonts w:ascii="Times New Roman" w:hAnsi="Times New Roman"/>
          <w:sz w:val="24"/>
          <w:szCs w:val="24"/>
        </w:rPr>
        <w:t>münferit</w:t>
      </w:r>
      <w:r w:rsidRPr="001A7055">
        <w:rPr>
          <w:rFonts w:ascii="Times New Roman" w:hAnsi="Times New Roman"/>
          <w:sz w:val="24"/>
          <w:szCs w:val="24"/>
        </w:rPr>
        <w:t xml:space="preserve"> finansal tablo gibi), finansa</w:t>
      </w:r>
      <w:r>
        <w:rPr>
          <w:rFonts w:ascii="Times New Roman" w:hAnsi="Times New Roman"/>
          <w:sz w:val="24"/>
          <w:szCs w:val="24"/>
        </w:rPr>
        <w:t>l tablolardaki diğer bileşenlerle olan</w:t>
      </w:r>
      <w:r w:rsidRPr="001A7055">
        <w:rPr>
          <w:rFonts w:ascii="Times New Roman" w:hAnsi="Times New Roman"/>
          <w:sz w:val="24"/>
          <w:szCs w:val="24"/>
        </w:rPr>
        <w:t xml:space="preserve"> karşılıklı ilişkiyi dikkate alır. </w:t>
      </w:r>
    </w:p>
    <w:p w:rsidR="00117E9F" w:rsidRPr="001A7055" w:rsidRDefault="00117E9F" w:rsidP="008A2AA9">
      <w:pPr>
        <w:pStyle w:val="ListParagraph"/>
        <w:numPr>
          <w:ilvl w:val="0"/>
          <w:numId w:val="1"/>
        </w:numPr>
        <w:spacing w:before="120" w:after="120"/>
        <w:contextualSpacing w:val="0"/>
        <w:jc w:val="both"/>
        <w:rPr>
          <w:rFonts w:ascii="Times New Roman" w:hAnsi="Times New Roman"/>
          <w:sz w:val="24"/>
          <w:szCs w:val="24"/>
        </w:rPr>
      </w:pPr>
      <w:r w:rsidRPr="001A7055">
        <w:rPr>
          <w:rFonts w:ascii="Times New Roman" w:hAnsi="Times New Roman"/>
          <w:sz w:val="24"/>
          <w:szCs w:val="24"/>
        </w:rPr>
        <w:t xml:space="preserve">Cari dönemin tamamlanan -gerçekleşen- herhangi bir bölümünün ileriye yönelik finansal bilgilere dâhil edilmesi durumunda denetçi, prosedürlerin tarihi bilgilere ne ölçüde uygulanması gerektiğini değerlendirir. Prosedürler, kapsanan dönemin ne kadarının tamamlandığı gibi hususlara bağlı olarak değişir. </w:t>
      </w:r>
    </w:p>
    <w:p w:rsidR="00117E9F" w:rsidRPr="00D03A11" w:rsidRDefault="00117E9F" w:rsidP="008A2AA9">
      <w:pPr>
        <w:pStyle w:val="ListParagraph"/>
        <w:numPr>
          <w:ilvl w:val="0"/>
          <w:numId w:val="1"/>
        </w:numPr>
        <w:spacing w:before="120" w:after="120"/>
        <w:contextualSpacing w:val="0"/>
        <w:jc w:val="both"/>
        <w:rPr>
          <w:rFonts w:ascii="Times New Roman" w:hAnsi="Times New Roman"/>
          <w:b/>
          <w:sz w:val="24"/>
          <w:szCs w:val="24"/>
        </w:rPr>
      </w:pPr>
      <w:r w:rsidRPr="00D03A11">
        <w:rPr>
          <w:rFonts w:ascii="Times New Roman" w:hAnsi="Times New Roman"/>
          <w:b/>
          <w:sz w:val="24"/>
          <w:szCs w:val="24"/>
        </w:rPr>
        <w:t>Denetçi, ileriye yönelik finansal bilgilerin kullanım amacı, önemli yönetim varsayımlarının tamlığı</w:t>
      </w:r>
      <w:r>
        <w:rPr>
          <w:rFonts w:ascii="Times New Roman" w:hAnsi="Times New Roman"/>
          <w:b/>
          <w:sz w:val="24"/>
          <w:szCs w:val="24"/>
        </w:rPr>
        <w:t xml:space="preserve"> –</w:t>
      </w:r>
      <w:r w:rsidRPr="00D03A11">
        <w:rPr>
          <w:rFonts w:ascii="Times New Roman" w:hAnsi="Times New Roman"/>
          <w:b/>
          <w:sz w:val="24"/>
          <w:szCs w:val="24"/>
        </w:rPr>
        <w:t>bütünlüğü- ve yönetimin ileriye yönelik finansal bilgilere ilişkin sorumluluklarının kabulü ile ilgili olarak yönetimden yazılı açıklama alır.</w:t>
      </w:r>
    </w:p>
    <w:p w:rsidR="00117E9F" w:rsidRPr="001A7055" w:rsidRDefault="00117E9F" w:rsidP="008A2AA9">
      <w:pPr>
        <w:spacing w:before="120" w:after="120"/>
        <w:jc w:val="both"/>
        <w:rPr>
          <w:rFonts w:ascii="Times New Roman" w:hAnsi="Times New Roman"/>
          <w:b/>
          <w:sz w:val="28"/>
          <w:szCs w:val="28"/>
        </w:rPr>
      </w:pPr>
      <w:r w:rsidRPr="001A7055">
        <w:rPr>
          <w:rFonts w:ascii="Times New Roman" w:hAnsi="Times New Roman"/>
          <w:b/>
          <w:sz w:val="28"/>
          <w:szCs w:val="28"/>
        </w:rPr>
        <w:t xml:space="preserve">Sunum ve Açıklama </w:t>
      </w:r>
    </w:p>
    <w:p w:rsidR="00117E9F" w:rsidRPr="001A7055" w:rsidRDefault="00117E9F" w:rsidP="008A2AA9">
      <w:pPr>
        <w:pStyle w:val="ListParagraph"/>
        <w:numPr>
          <w:ilvl w:val="0"/>
          <w:numId w:val="1"/>
        </w:numPr>
        <w:spacing w:before="120" w:after="120"/>
        <w:contextualSpacing w:val="0"/>
        <w:jc w:val="both"/>
        <w:rPr>
          <w:rFonts w:ascii="Times New Roman" w:hAnsi="Times New Roman"/>
          <w:sz w:val="24"/>
          <w:szCs w:val="24"/>
        </w:rPr>
      </w:pPr>
      <w:r w:rsidRPr="001A7055">
        <w:rPr>
          <w:rFonts w:ascii="Times New Roman" w:hAnsi="Times New Roman"/>
          <w:sz w:val="24"/>
          <w:szCs w:val="24"/>
        </w:rPr>
        <w:t>Denetçi</w:t>
      </w:r>
      <w:r>
        <w:rPr>
          <w:rFonts w:ascii="Times New Roman" w:hAnsi="Times New Roman"/>
          <w:sz w:val="24"/>
          <w:szCs w:val="24"/>
        </w:rPr>
        <w:t>,</w:t>
      </w:r>
      <w:r w:rsidRPr="001A7055">
        <w:rPr>
          <w:rFonts w:ascii="Times New Roman" w:hAnsi="Times New Roman"/>
          <w:sz w:val="24"/>
          <w:szCs w:val="24"/>
        </w:rPr>
        <w:t xml:space="preserve"> ileriye yönelik finansal bilgilerin sunum ve açıklamasını değerlendirirken ilgili </w:t>
      </w:r>
      <w:r>
        <w:rPr>
          <w:rFonts w:ascii="Times New Roman" w:hAnsi="Times New Roman"/>
          <w:sz w:val="24"/>
          <w:szCs w:val="24"/>
        </w:rPr>
        <w:t xml:space="preserve">mevzuat </w:t>
      </w:r>
      <w:r w:rsidRPr="001A7055">
        <w:rPr>
          <w:rFonts w:ascii="Times New Roman" w:hAnsi="Times New Roman"/>
          <w:sz w:val="24"/>
          <w:szCs w:val="24"/>
        </w:rPr>
        <w:t xml:space="preserve">veya mesleki standartların </w:t>
      </w:r>
      <w:r>
        <w:rPr>
          <w:rFonts w:ascii="Times New Roman" w:hAnsi="Times New Roman"/>
          <w:sz w:val="24"/>
          <w:szCs w:val="24"/>
        </w:rPr>
        <w:t>yükümlülüklerine ilâve</w:t>
      </w:r>
      <w:r w:rsidRPr="001A7055">
        <w:rPr>
          <w:rFonts w:ascii="Times New Roman" w:hAnsi="Times New Roman"/>
          <w:sz w:val="24"/>
          <w:szCs w:val="24"/>
        </w:rPr>
        <w:t xml:space="preserve"> olarak aşağıdaki hususları da dikkate alır:</w:t>
      </w:r>
    </w:p>
    <w:p w:rsidR="00117E9F" w:rsidRPr="001A7055" w:rsidRDefault="00117E9F" w:rsidP="008A2AA9">
      <w:pPr>
        <w:pStyle w:val="ListParagraph"/>
        <w:numPr>
          <w:ilvl w:val="0"/>
          <w:numId w:val="29"/>
        </w:numPr>
        <w:spacing w:before="120" w:after="120"/>
        <w:ind w:left="1276" w:hanging="567"/>
        <w:contextualSpacing w:val="0"/>
        <w:jc w:val="both"/>
        <w:rPr>
          <w:rFonts w:ascii="Times New Roman" w:hAnsi="Times New Roman"/>
          <w:sz w:val="24"/>
          <w:szCs w:val="24"/>
        </w:rPr>
      </w:pPr>
      <w:r w:rsidRPr="001A7055">
        <w:rPr>
          <w:rFonts w:ascii="Times New Roman" w:hAnsi="Times New Roman"/>
          <w:sz w:val="24"/>
          <w:szCs w:val="24"/>
        </w:rPr>
        <w:t xml:space="preserve">İleriye yönelik finansal bilgilerin sunumunun bilgilendirici ve yanıltıcı olup olmadığı, </w:t>
      </w:r>
    </w:p>
    <w:p w:rsidR="00117E9F" w:rsidRPr="001A7055" w:rsidRDefault="00117E9F" w:rsidP="008A2AA9">
      <w:pPr>
        <w:pStyle w:val="ListParagraph"/>
        <w:numPr>
          <w:ilvl w:val="0"/>
          <w:numId w:val="29"/>
        </w:numPr>
        <w:spacing w:before="120" w:after="120"/>
        <w:ind w:left="1276" w:hanging="567"/>
        <w:contextualSpacing w:val="0"/>
        <w:jc w:val="both"/>
        <w:rPr>
          <w:rFonts w:ascii="Times New Roman" w:hAnsi="Times New Roman"/>
          <w:sz w:val="24"/>
          <w:szCs w:val="24"/>
        </w:rPr>
      </w:pPr>
      <w:r w:rsidRPr="001A7055">
        <w:rPr>
          <w:rFonts w:ascii="Times New Roman" w:hAnsi="Times New Roman"/>
          <w:sz w:val="24"/>
          <w:szCs w:val="24"/>
        </w:rPr>
        <w:t>Muhasebe politikalarının ileriye yönelik finansal bilgilerin dipnotlarında net bir şekilde açıklanıp açıklanmadığı,</w:t>
      </w:r>
    </w:p>
    <w:p w:rsidR="00117E9F" w:rsidRPr="001A7055" w:rsidRDefault="00117E9F" w:rsidP="008A2AA9">
      <w:pPr>
        <w:pStyle w:val="ListParagraph"/>
        <w:numPr>
          <w:ilvl w:val="0"/>
          <w:numId w:val="29"/>
        </w:numPr>
        <w:spacing w:before="120" w:after="120"/>
        <w:ind w:left="1276" w:hanging="567"/>
        <w:contextualSpacing w:val="0"/>
        <w:jc w:val="both"/>
        <w:rPr>
          <w:rFonts w:ascii="Times New Roman" w:hAnsi="Times New Roman"/>
          <w:sz w:val="24"/>
          <w:szCs w:val="24"/>
        </w:rPr>
      </w:pPr>
      <w:r>
        <w:rPr>
          <w:rFonts w:ascii="Times New Roman" w:hAnsi="Times New Roman"/>
          <w:sz w:val="24"/>
          <w:szCs w:val="24"/>
        </w:rPr>
        <w:t>Kullanılan v</w:t>
      </w:r>
      <w:r w:rsidRPr="001A7055">
        <w:rPr>
          <w:rFonts w:ascii="Times New Roman" w:hAnsi="Times New Roman"/>
          <w:sz w:val="24"/>
          <w:szCs w:val="24"/>
        </w:rPr>
        <w:t xml:space="preserve">arsayımların ileriye yönelik finansal bilgilerin dipnotlarında yeterli bir şekilde açıklanıp açıklanmadığı </w:t>
      </w:r>
      <w:r>
        <w:rPr>
          <w:rFonts w:ascii="Times New Roman" w:hAnsi="Times New Roman"/>
          <w:sz w:val="24"/>
          <w:szCs w:val="24"/>
        </w:rPr>
        <w:t>(</w:t>
      </w:r>
      <w:r w:rsidRPr="001A7055">
        <w:rPr>
          <w:rFonts w:ascii="Times New Roman" w:hAnsi="Times New Roman"/>
          <w:sz w:val="24"/>
          <w:szCs w:val="24"/>
        </w:rPr>
        <w:t>Varsayımların yönetimin en iyi tahminlerini yansıtıp yansıtmadığı</w:t>
      </w:r>
      <w:r>
        <w:rPr>
          <w:rFonts w:ascii="Times New Roman" w:hAnsi="Times New Roman"/>
          <w:sz w:val="24"/>
          <w:szCs w:val="24"/>
        </w:rPr>
        <w:t>na</w:t>
      </w:r>
      <w:r w:rsidRPr="001A7055">
        <w:rPr>
          <w:rFonts w:ascii="Times New Roman" w:hAnsi="Times New Roman"/>
          <w:sz w:val="24"/>
          <w:szCs w:val="24"/>
        </w:rPr>
        <w:t xml:space="preserve"> veya hipoteze dayalı </w:t>
      </w:r>
      <w:r>
        <w:rPr>
          <w:rFonts w:ascii="Times New Roman" w:hAnsi="Times New Roman"/>
          <w:sz w:val="24"/>
          <w:szCs w:val="24"/>
        </w:rPr>
        <w:t xml:space="preserve">olup olmadığına </w:t>
      </w:r>
      <w:r w:rsidRPr="001A7055">
        <w:rPr>
          <w:rFonts w:ascii="Times New Roman" w:hAnsi="Times New Roman"/>
          <w:sz w:val="24"/>
          <w:szCs w:val="24"/>
        </w:rPr>
        <w:t>açıklık kazandırılması gerekir. Ayrıca, önemli alanlarla ilgili varsayımlarda bulunulması ve bu varsayımların yüksek düzeyde bir belirsizliğe tabi olması durumunda, bu belirsizlik ve sonuçlardaki nihai duyarlılığın yeterli şekilde açıklanması gerekir</w:t>
      </w:r>
      <w:r>
        <w:rPr>
          <w:rFonts w:ascii="Times New Roman" w:hAnsi="Times New Roman"/>
          <w:sz w:val="24"/>
          <w:szCs w:val="24"/>
        </w:rPr>
        <w:t>.)</w:t>
      </w:r>
      <w:r w:rsidRPr="001A7055">
        <w:rPr>
          <w:rFonts w:ascii="Times New Roman" w:hAnsi="Times New Roman"/>
          <w:sz w:val="24"/>
          <w:szCs w:val="24"/>
        </w:rPr>
        <w:t xml:space="preserve">, </w:t>
      </w:r>
    </w:p>
    <w:p w:rsidR="00117E9F" w:rsidRPr="001A7055" w:rsidRDefault="00117E9F" w:rsidP="00853115">
      <w:pPr>
        <w:spacing w:before="120" w:after="120"/>
        <w:ind w:left="1276" w:hanging="567"/>
        <w:jc w:val="both"/>
        <w:rPr>
          <w:rFonts w:ascii="Times New Roman" w:hAnsi="Times New Roman"/>
          <w:sz w:val="24"/>
          <w:szCs w:val="24"/>
        </w:rPr>
      </w:pPr>
      <w:r w:rsidRPr="001A7055">
        <w:rPr>
          <w:rFonts w:ascii="Times New Roman" w:hAnsi="Times New Roman"/>
          <w:sz w:val="24"/>
          <w:szCs w:val="24"/>
        </w:rPr>
        <w:t xml:space="preserve">(ç)   İleriye yönelik finansal bilgilerin hazırlandığı tarihin açıklanıp açıklanmadığı  </w:t>
      </w:r>
      <w:r>
        <w:rPr>
          <w:rFonts w:ascii="Times New Roman" w:hAnsi="Times New Roman"/>
          <w:sz w:val="24"/>
          <w:szCs w:val="24"/>
        </w:rPr>
        <w:t>(</w:t>
      </w:r>
      <w:r w:rsidRPr="001A7055">
        <w:rPr>
          <w:rFonts w:ascii="Times New Roman" w:hAnsi="Times New Roman"/>
          <w:sz w:val="24"/>
          <w:szCs w:val="24"/>
        </w:rPr>
        <w:t>Yönetimin, varsayımlara dayanak oluşturan bilgilerin belirli bir zaman dilimi boyunca birikmiş olması durumunda bile, bilgilerin açıklandığı tarih itibariyle varsayımların uygun olduğunu doğrulaması gerekir</w:t>
      </w:r>
      <w:r>
        <w:rPr>
          <w:rFonts w:ascii="Times New Roman" w:hAnsi="Times New Roman"/>
          <w:sz w:val="24"/>
          <w:szCs w:val="24"/>
        </w:rPr>
        <w:t>.)</w:t>
      </w:r>
      <w:r w:rsidRPr="001A7055">
        <w:rPr>
          <w:rFonts w:ascii="Times New Roman" w:hAnsi="Times New Roman"/>
          <w:sz w:val="24"/>
          <w:szCs w:val="24"/>
        </w:rPr>
        <w:t>,</w:t>
      </w:r>
    </w:p>
    <w:p w:rsidR="00117E9F" w:rsidRPr="001A7055" w:rsidRDefault="00117E9F" w:rsidP="00853115">
      <w:pPr>
        <w:pStyle w:val="ListParagraph"/>
        <w:numPr>
          <w:ilvl w:val="0"/>
          <w:numId w:val="29"/>
        </w:numPr>
        <w:spacing w:before="120" w:after="120"/>
        <w:ind w:left="1276" w:hanging="567"/>
        <w:contextualSpacing w:val="0"/>
        <w:jc w:val="both"/>
        <w:rPr>
          <w:rFonts w:ascii="Times New Roman" w:hAnsi="Times New Roman"/>
          <w:sz w:val="24"/>
          <w:szCs w:val="24"/>
        </w:rPr>
      </w:pPr>
      <w:r w:rsidRPr="001A7055">
        <w:rPr>
          <w:rFonts w:ascii="Times New Roman" w:hAnsi="Times New Roman"/>
          <w:sz w:val="24"/>
          <w:szCs w:val="24"/>
        </w:rPr>
        <w:t>İleriye yönelik finansal bilgilerde gösterilen sonuçların bir aralıkl</w:t>
      </w:r>
      <w:r>
        <w:rPr>
          <w:rFonts w:ascii="Times New Roman" w:hAnsi="Times New Roman"/>
          <w:sz w:val="24"/>
          <w:szCs w:val="24"/>
        </w:rPr>
        <w:t>a ifade edilmesi durumunda, aralığı belirleyen noktaların dayandığı esasın</w:t>
      </w:r>
      <w:r w:rsidRPr="001A7055">
        <w:rPr>
          <w:rFonts w:ascii="Times New Roman" w:hAnsi="Times New Roman"/>
          <w:sz w:val="24"/>
          <w:szCs w:val="24"/>
        </w:rPr>
        <w:t xml:space="preserve"> açıkça gösterilip gösterilmediği ve aralığın taraflı veya yanıltıcı bir şekilde seçil</w:t>
      </w:r>
      <w:r>
        <w:rPr>
          <w:rFonts w:ascii="Times New Roman" w:hAnsi="Times New Roman"/>
          <w:sz w:val="24"/>
          <w:szCs w:val="24"/>
        </w:rPr>
        <w:t>ip seçilmediği</w:t>
      </w:r>
      <w:r w:rsidRPr="001A7055">
        <w:rPr>
          <w:rFonts w:ascii="Times New Roman" w:hAnsi="Times New Roman"/>
          <w:sz w:val="24"/>
          <w:szCs w:val="24"/>
        </w:rPr>
        <w:t xml:space="preserve"> ve </w:t>
      </w:r>
    </w:p>
    <w:p w:rsidR="00117E9F" w:rsidRPr="001A7055" w:rsidRDefault="00117E9F" w:rsidP="008A2AA9">
      <w:pPr>
        <w:pStyle w:val="ListParagraph"/>
        <w:numPr>
          <w:ilvl w:val="0"/>
          <w:numId w:val="29"/>
        </w:numPr>
        <w:spacing w:before="120" w:after="120"/>
        <w:ind w:left="1276" w:hanging="567"/>
        <w:contextualSpacing w:val="0"/>
        <w:jc w:val="both"/>
        <w:rPr>
          <w:rFonts w:ascii="Times New Roman" w:hAnsi="Times New Roman"/>
          <w:sz w:val="24"/>
          <w:szCs w:val="24"/>
        </w:rPr>
      </w:pPr>
      <w:r w:rsidRPr="001A7055">
        <w:rPr>
          <w:rFonts w:ascii="Times New Roman" w:hAnsi="Times New Roman"/>
          <w:sz w:val="24"/>
          <w:szCs w:val="24"/>
        </w:rPr>
        <w:t xml:space="preserve">En yakın </w:t>
      </w:r>
      <w:r>
        <w:rPr>
          <w:rFonts w:ascii="Times New Roman" w:hAnsi="Times New Roman"/>
          <w:sz w:val="24"/>
          <w:szCs w:val="24"/>
        </w:rPr>
        <w:t>tarihi</w:t>
      </w:r>
      <w:r w:rsidRPr="001A7055">
        <w:rPr>
          <w:rFonts w:ascii="Times New Roman" w:hAnsi="Times New Roman"/>
          <w:sz w:val="24"/>
          <w:szCs w:val="24"/>
        </w:rPr>
        <w:t xml:space="preserve"> finansal tablolardan sonra muhasebe politikasında meydana gelen herhangi bir değişikliğin sebebi ve ileriye yönelik finansal bilgiler üzerindeki etkisi ile birlikte açıklanıp açıklanmadığı.</w:t>
      </w:r>
    </w:p>
    <w:p w:rsidR="00117E9F" w:rsidRPr="001A7055" w:rsidRDefault="00117E9F" w:rsidP="008A2AA9">
      <w:pPr>
        <w:spacing w:before="120" w:after="120"/>
        <w:jc w:val="both"/>
        <w:rPr>
          <w:rFonts w:ascii="Times New Roman" w:hAnsi="Times New Roman"/>
          <w:b/>
          <w:sz w:val="28"/>
          <w:szCs w:val="28"/>
        </w:rPr>
      </w:pPr>
      <w:r w:rsidRPr="001A7055">
        <w:rPr>
          <w:rFonts w:ascii="Times New Roman" w:hAnsi="Times New Roman"/>
          <w:b/>
          <w:sz w:val="28"/>
          <w:szCs w:val="28"/>
        </w:rPr>
        <w:t>İleriye Yönelik Finansal Bilgilerin İncelenmesine İlişkin Rapor</w:t>
      </w:r>
    </w:p>
    <w:p w:rsidR="00117E9F" w:rsidRPr="00D03A11" w:rsidRDefault="00117E9F" w:rsidP="008A2AA9">
      <w:pPr>
        <w:pStyle w:val="ListParagraph"/>
        <w:numPr>
          <w:ilvl w:val="0"/>
          <w:numId w:val="1"/>
        </w:numPr>
        <w:spacing w:before="120" w:after="120"/>
        <w:contextualSpacing w:val="0"/>
        <w:jc w:val="both"/>
        <w:rPr>
          <w:rFonts w:ascii="Times New Roman" w:hAnsi="Times New Roman"/>
          <w:b/>
          <w:sz w:val="24"/>
          <w:szCs w:val="24"/>
        </w:rPr>
      </w:pPr>
      <w:r w:rsidRPr="00D03A11">
        <w:rPr>
          <w:rFonts w:ascii="Times New Roman" w:hAnsi="Times New Roman"/>
          <w:b/>
          <w:sz w:val="24"/>
          <w:szCs w:val="24"/>
        </w:rPr>
        <w:t>Denetçi aşağıdaki unsurları içeren yazılı bir rapor düzenler:</w:t>
      </w:r>
    </w:p>
    <w:p w:rsidR="00117E9F" w:rsidRPr="00D03A11" w:rsidRDefault="00117E9F" w:rsidP="008A2AA9">
      <w:pPr>
        <w:pStyle w:val="ListParagraph"/>
        <w:numPr>
          <w:ilvl w:val="0"/>
          <w:numId w:val="30"/>
        </w:numPr>
        <w:spacing w:before="120" w:after="120"/>
        <w:ind w:left="1276" w:hanging="578"/>
        <w:contextualSpacing w:val="0"/>
        <w:jc w:val="both"/>
        <w:rPr>
          <w:rFonts w:ascii="Times New Roman" w:hAnsi="Times New Roman"/>
          <w:b/>
          <w:sz w:val="24"/>
          <w:szCs w:val="24"/>
        </w:rPr>
      </w:pPr>
      <w:r w:rsidRPr="00D03A11">
        <w:rPr>
          <w:rFonts w:ascii="Times New Roman" w:hAnsi="Times New Roman"/>
          <w:b/>
          <w:sz w:val="24"/>
          <w:szCs w:val="24"/>
        </w:rPr>
        <w:t>Başlık,</w:t>
      </w:r>
    </w:p>
    <w:p w:rsidR="00117E9F" w:rsidRPr="00D03A11" w:rsidRDefault="00117E9F" w:rsidP="008A2AA9">
      <w:pPr>
        <w:pStyle w:val="ListParagraph"/>
        <w:numPr>
          <w:ilvl w:val="0"/>
          <w:numId w:val="30"/>
        </w:numPr>
        <w:spacing w:before="120" w:after="120"/>
        <w:ind w:left="1276" w:hanging="578"/>
        <w:contextualSpacing w:val="0"/>
        <w:jc w:val="both"/>
        <w:rPr>
          <w:rFonts w:ascii="Times New Roman" w:hAnsi="Times New Roman"/>
          <w:b/>
          <w:sz w:val="24"/>
          <w:szCs w:val="24"/>
        </w:rPr>
      </w:pPr>
      <w:r w:rsidRPr="00D03A11">
        <w:rPr>
          <w:rFonts w:ascii="Times New Roman" w:hAnsi="Times New Roman"/>
          <w:b/>
          <w:sz w:val="24"/>
          <w:szCs w:val="24"/>
        </w:rPr>
        <w:t>Muhatap,</w:t>
      </w:r>
    </w:p>
    <w:p w:rsidR="00117E9F" w:rsidRPr="00D03A11" w:rsidRDefault="00117E9F" w:rsidP="008A2AA9">
      <w:pPr>
        <w:pStyle w:val="ListParagraph"/>
        <w:numPr>
          <w:ilvl w:val="0"/>
          <w:numId w:val="30"/>
        </w:numPr>
        <w:spacing w:before="120" w:after="120"/>
        <w:ind w:left="1276" w:hanging="578"/>
        <w:contextualSpacing w:val="0"/>
        <w:jc w:val="both"/>
        <w:rPr>
          <w:rFonts w:ascii="Times New Roman" w:hAnsi="Times New Roman"/>
          <w:b/>
          <w:sz w:val="24"/>
          <w:szCs w:val="24"/>
        </w:rPr>
      </w:pPr>
      <w:r w:rsidRPr="00D03A11">
        <w:rPr>
          <w:rFonts w:ascii="Times New Roman" w:hAnsi="Times New Roman"/>
          <w:b/>
          <w:sz w:val="24"/>
          <w:szCs w:val="24"/>
        </w:rPr>
        <w:t>İleriye yönelik finansal bilgilerin belirtilmesi,</w:t>
      </w:r>
    </w:p>
    <w:p w:rsidR="00117E9F" w:rsidRPr="00D03A11" w:rsidRDefault="00117E9F" w:rsidP="008A2AA9">
      <w:pPr>
        <w:pStyle w:val="ListParagraph"/>
        <w:spacing w:before="120" w:after="120"/>
        <w:ind w:left="1276" w:hanging="567"/>
        <w:contextualSpacing w:val="0"/>
        <w:jc w:val="both"/>
        <w:rPr>
          <w:rFonts w:ascii="Times New Roman" w:hAnsi="Times New Roman"/>
          <w:b/>
          <w:sz w:val="24"/>
          <w:szCs w:val="24"/>
        </w:rPr>
      </w:pPr>
      <w:r w:rsidRPr="001A7055">
        <w:rPr>
          <w:rFonts w:ascii="Times New Roman" w:hAnsi="Times New Roman"/>
          <w:sz w:val="24"/>
          <w:szCs w:val="24"/>
        </w:rPr>
        <w:t xml:space="preserve">(ç)     </w:t>
      </w:r>
      <w:r w:rsidRPr="00D03A11">
        <w:rPr>
          <w:rFonts w:ascii="Times New Roman" w:hAnsi="Times New Roman"/>
          <w:b/>
          <w:sz w:val="24"/>
          <w:szCs w:val="24"/>
        </w:rPr>
        <w:t>Bu GDS’ye yapılan atıf,</w:t>
      </w:r>
    </w:p>
    <w:p w:rsidR="00117E9F" w:rsidRPr="00D03A11" w:rsidRDefault="00117E9F" w:rsidP="008A2AA9">
      <w:pPr>
        <w:pStyle w:val="ListParagraph"/>
        <w:numPr>
          <w:ilvl w:val="0"/>
          <w:numId w:val="30"/>
        </w:numPr>
        <w:spacing w:before="120" w:after="120"/>
        <w:ind w:left="1276" w:hanging="578"/>
        <w:contextualSpacing w:val="0"/>
        <w:jc w:val="both"/>
        <w:rPr>
          <w:rFonts w:ascii="Times New Roman" w:hAnsi="Times New Roman"/>
          <w:b/>
          <w:sz w:val="24"/>
          <w:szCs w:val="24"/>
        </w:rPr>
      </w:pPr>
      <w:r w:rsidRPr="00D03A11">
        <w:rPr>
          <w:rFonts w:ascii="Times New Roman" w:hAnsi="Times New Roman"/>
          <w:b/>
          <w:sz w:val="24"/>
          <w:szCs w:val="24"/>
        </w:rPr>
        <w:t>Yönetimin ileriye yönelik finansal bilgilerin dayandığı varsayımlar da dâhil bu bilgilerden sorumlu olduğuna ilişkin bir açıklama,</w:t>
      </w:r>
    </w:p>
    <w:p w:rsidR="00117E9F" w:rsidRPr="00D03A11" w:rsidRDefault="00117E9F" w:rsidP="008A2AA9">
      <w:pPr>
        <w:pStyle w:val="ListParagraph"/>
        <w:numPr>
          <w:ilvl w:val="0"/>
          <w:numId w:val="30"/>
        </w:numPr>
        <w:spacing w:before="120" w:after="120"/>
        <w:ind w:left="1276" w:hanging="578"/>
        <w:contextualSpacing w:val="0"/>
        <w:jc w:val="both"/>
        <w:rPr>
          <w:rFonts w:ascii="Times New Roman" w:hAnsi="Times New Roman"/>
          <w:b/>
          <w:sz w:val="24"/>
          <w:szCs w:val="24"/>
        </w:rPr>
      </w:pPr>
      <w:r w:rsidRPr="00D03A11">
        <w:rPr>
          <w:rFonts w:ascii="Times New Roman" w:hAnsi="Times New Roman"/>
          <w:b/>
          <w:sz w:val="24"/>
          <w:szCs w:val="24"/>
        </w:rPr>
        <w:t>Uygun hâllerde, ileriye yönelik finansal bilgilerin amacı ve/veya sınırlı dağıtımına yapılan atıf,</w:t>
      </w:r>
    </w:p>
    <w:p w:rsidR="00117E9F" w:rsidRPr="00D03A11" w:rsidRDefault="00117E9F" w:rsidP="008A2AA9">
      <w:pPr>
        <w:pStyle w:val="ListParagraph"/>
        <w:numPr>
          <w:ilvl w:val="0"/>
          <w:numId w:val="30"/>
        </w:numPr>
        <w:spacing w:before="120" w:after="120"/>
        <w:ind w:left="1276" w:hanging="578"/>
        <w:contextualSpacing w:val="0"/>
        <w:jc w:val="both"/>
        <w:rPr>
          <w:rFonts w:ascii="Times New Roman" w:hAnsi="Times New Roman"/>
          <w:b/>
          <w:sz w:val="24"/>
          <w:szCs w:val="24"/>
        </w:rPr>
      </w:pPr>
      <w:r w:rsidRPr="00D03A11">
        <w:rPr>
          <w:rFonts w:ascii="Times New Roman" w:hAnsi="Times New Roman"/>
          <w:b/>
          <w:sz w:val="24"/>
          <w:szCs w:val="24"/>
        </w:rPr>
        <w:t xml:space="preserve">Varsayımların ileriye yönelik finansal bilgiler için uygun dayanak sağlayıp sağlamadığı konusunda negatif güvence ifadesi; </w:t>
      </w:r>
    </w:p>
    <w:p w:rsidR="00117E9F" w:rsidRPr="00D03A11" w:rsidRDefault="00117E9F" w:rsidP="008A2AA9">
      <w:pPr>
        <w:pStyle w:val="ListParagraph"/>
        <w:numPr>
          <w:ilvl w:val="0"/>
          <w:numId w:val="30"/>
        </w:numPr>
        <w:spacing w:before="120" w:after="120"/>
        <w:ind w:left="1276" w:hanging="567"/>
        <w:contextualSpacing w:val="0"/>
        <w:jc w:val="both"/>
        <w:rPr>
          <w:rFonts w:ascii="Times New Roman" w:hAnsi="Times New Roman"/>
          <w:b/>
          <w:sz w:val="24"/>
          <w:szCs w:val="24"/>
        </w:rPr>
      </w:pPr>
      <w:r w:rsidRPr="00D03A11">
        <w:rPr>
          <w:rFonts w:ascii="Times New Roman" w:hAnsi="Times New Roman"/>
          <w:b/>
          <w:sz w:val="24"/>
          <w:szCs w:val="24"/>
        </w:rPr>
        <w:t>İleriye yönelik finansal bilgilerin varsayımlara dayanarak uygun şekilde hazırlanıp hazırlanmadığı ve ilgili finansal raporlama çerçevesine uygun olarak sunulup sunulmadığına ilişkin bir görüş,</w:t>
      </w:r>
    </w:p>
    <w:p w:rsidR="00117E9F" w:rsidRPr="00D03A11" w:rsidRDefault="00117E9F" w:rsidP="008A2AA9">
      <w:pPr>
        <w:pStyle w:val="ListParagraph"/>
        <w:spacing w:before="120" w:after="120"/>
        <w:ind w:left="1276" w:hanging="567"/>
        <w:contextualSpacing w:val="0"/>
        <w:jc w:val="both"/>
        <w:rPr>
          <w:rFonts w:ascii="Times New Roman" w:hAnsi="Times New Roman"/>
          <w:b/>
          <w:sz w:val="24"/>
          <w:szCs w:val="24"/>
        </w:rPr>
      </w:pPr>
      <w:r w:rsidRPr="001A7055">
        <w:rPr>
          <w:rFonts w:ascii="Times New Roman" w:hAnsi="Times New Roman"/>
          <w:sz w:val="24"/>
          <w:szCs w:val="24"/>
        </w:rPr>
        <w:t xml:space="preserve">(ğ)  </w:t>
      </w:r>
      <w:r w:rsidRPr="00D03A11">
        <w:rPr>
          <w:rFonts w:ascii="Times New Roman" w:hAnsi="Times New Roman"/>
          <w:b/>
          <w:sz w:val="24"/>
          <w:szCs w:val="24"/>
        </w:rPr>
        <w:t xml:space="preserve">İleriye yönelik finansal bilgilerin gösterdiği sonuçların ulaşılabilirliğine ilişkin </w:t>
      </w:r>
      <w:r w:rsidRPr="00853115">
        <w:rPr>
          <w:rFonts w:ascii="Times New Roman" w:hAnsi="Times New Roman"/>
          <w:b/>
          <w:sz w:val="24"/>
          <w:szCs w:val="24"/>
        </w:rPr>
        <w:t>uygun uyarılar,</w:t>
      </w:r>
    </w:p>
    <w:p w:rsidR="00117E9F" w:rsidRPr="00D03A11" w:rsidRDefault="00117E9F" w:rsidP="008A2AA9">
      <w:pPr>
        <w:pStyle w:val="ListParagraph"/>
        <w:numPr>
          <w:ilvl w:val="0"/>
          <w:numId w:val="30"/>
        </w:numPr>
        <w:spacing w:before="120" w:after="120"/>
        <w:ind w:left="1276" w:hanging="567"/>
        <w:contextualSpacing w:val="0"/>
        <w:jc w:val="both"/>
        <w:rPr>
          <w:rFonts w:ascii="Times New Roman" w:hAnsi="Times New Roman"/>
          <w:b/>
          <w:sz w:val="24"/>
          <w:szCs w:val="24"/>
        </w:rPr>
      </w:pPr>
      <w:r w:rsidRPr="00D03A11">
        <w:rPr>
          <w:rFonts w:ascii="Times New Roman" w:hAnsi="Times New Roman"/>
          <w:b/>
          <w:sz w:val="24"/>
          <w:szCs w:val="24"/>
        </w:rPr>
        <w:t>Prosedürlerin tamamlandığı tarihle aynı tarih olması gereken rapor tarihi,</w:t>
      </w:r>
    </w:p>
    <w:p w:rsidR="00117E9F" w:rsidRPr="00D03A11" w:rsidRDefault="00117E9F" w:rsidP="008A2AA9">
      <w:pPr>
        <w:pStyle w:val="ListParagraph"/>
        <w:spacing w:before="120" w:after="120"/>
        <w:ind w:left="1276" w:hanging="567"/>
        <w:contextualSpacing w:val="0"/>
        <w:jc w:val="both"/>
        <w:rPr>
          <w:rFonts w:ascii="Times New Roman" w:hAnsi="Times New Roman"/>
          <w:b/>
          <w:sz w:val="24"/>
          <w:szCs w:val="24"/>
        </w:rPr>
      </w:pPr>
      <w:r w:rsidRPr="001A7055">
        <w:rPr>
          <w:rFonts w:ascii="Times New Roman" w:hAnsi="Times New Roman"/>
          <w:sz w:val="24"/>
          <w:szCs w:val="24"/>
        </w:rPr>
        <w:t xml:space="preserve">(ı)   </w:t>
      </w:r>
      <w:r>
        <w:rPr>
          <w:rFonts w:ascii="Times New Roman" w:hAnsi="Times New Roman"/>
          <w:sz w:val="24"/>
          <w:szCs w:val="24"/>
        </w:rPr>
        <w:t xml:space="preserve">  </w:t>
      </w:r>
      <w:r w:rsidRPr="00D03A11">
        <w:rPr>
          <w:rFonts w:ascii="Times New Roman" w:hAnsi="Times New Roman"/>
          <w:b/>
          <w:sz w:val="24"/>
          <w:szCs w:val="24"/>
        </w:rPr>
        <w:t>Denetçinin adresi,</w:t>
      </w:r>
    </w:p>
    <w:p w:rsidR="00117E9F" w:rsidRPr="00D03A11" w:rsidRDefault="00117E9F" w:rsidP="008A2AA9">
      <w:pPr>
        <w:pStyle w:val="ListParagraph"/>
        <w:numPr>
          <w:ilvl w:val="0"/>
          <w:numId w:val="30"/>
        </w:numPr>
        <w:spacing w:before="120" w:after="120"/>
        <w:ind w:left="1276" w:hanging="567"/>
        <w:contextualSpacing w:val="0"/>
        <w:jc w:val="both"/>
        <w:rPr>
          <w:rFonts w:ascii="Times New Roman" w:hAnsi="Times New Roman"/>
          <w:b/>
          <w:sz w:val="24"/>
          <w:szCs w:val="24"/>
        </w:rPr>
      </w:pPr>
      <w:r w:rsidRPr="00D03A11">
        <w:rPr>
          <w:rFonts w:ascii="Times New Roman" w:hAnsi="Times New Roman"/>
          <w:b/>
          <w:sz w:val="24"/>
          <w:szCs w:val="24"/>
        </w:rPr>
        <w:t>İmza,</w:t>
      </w:r>
    </w:p>
    <w:p w:rsidR="00117E9F" w:rsidRPr="001A7055" w:rsidRDefault="00117E9F" w:rsidP="008A2AA9">
      <w:pPr>
        <w:pStyle w:val="ListParagraph"/>
        <w:numPr>
          <w:ilvl w:val="0"/>
          <w:numId w:val="30"/>
        </w:numPr>
        <w:spacing w:before="120" w:after="120"/>
        <w:ind w:left="1276" w:hanging="567"/>
        <w:contextualSpacing w:val="0"/>
        <w:jc w:val="both"/>
        <w:rPr>
          <w:rFonts w:ascii="Times New Roman" w:hAnsi="Times New Roman"/>
          <w:sz w:val="24"/>
          <w:szCs w:val="24"/>
        </w:rPr>
      </w:pPr>
      <w:r w:rsidRPr="001A7055">
        <w:rPr>
          <w:rFonts w:ascii="Times New Roman" w:hAnsi="Times New Roman"/>
          <w:sz w:val="24"/>
          <w:szCs w:val="24"/>
        </w:rPr>
        <w:t>Bu tür bir rapor:</w:t>
      </w:r>
    </w:p>
    <w:p w:rsidR="00117E9F" w:rsidRPr="001A7055" w:rsidRDefault="00117E9F" w:rsidP="008A2AA9">
      <w:pPr>
        <w:pStyle w:val="ListParagraph"/>
        <w:numPr>
          <w:ilvl w:val="0"/>
          <w:numId w:val="22"/>
        </w:numPr>
        <w:spacing w:before="120" w:after="120"/>
        <w:contextualSpacing w:val="0"/>
        <w:jc w:val="both"/>
        <w:rPr>
          <w:rFonts w:ascii="Times New Roman" w:hAnsi="Times New Roman"/>
          <w:sz w:val="24"/>
          <w:szCs w:val="24"/>
        </w:rPr>
      </w:pPr>
      <w:r w:rsidRPr="001A7055">
        <w:rPr>
          <w:rFonts w:ascii="Times New Roman" w:hAnsi="Times New Roman"/>
          <w:sz w:val="24"/>
          <w:szCs w:val="24"/>
        </w:rPr>
        <w:t xml:space="preserve">Varsayımları destekleyen kanıtlara </w:t>
      </w:r>
      <w:r>
        <w:rPr>
          <w:rFonts w:ascii="Times New Roman" w:hAnsi="Times New Roman"/>
          <w:sz w:val="24"/>
          <w:szCs w:val="24"/>
        </w:rPr>
        <w:t>yönelik</w:t>
      </w:r>
      <w:r w:rsidRPr="001A7055">
        <w:rPr>
          <w:rFonts w:ascii="Times New Roman" w:hAnsi="Times New Roman"/>
          <w:sz w:val="24"/>
          <w:szCs w:val="24"/>
        </w:rPr>
        <w:t xml:space="preserve"> incelemeye göre; varsayımların ileriye yönelik finansal bilgiler için makul bir temel oluşturmadığı</w:t>
      </w:r>
      <w:r>
        <w:rPr>
          <w:rFonts w:ascii="Times New Roman" w:hAnsi="Times New Roman"/>
          <w:sz w:val="24"/>
          <w:szCs w:val="24"/>
        </w:rPr>
        <w:t xml:space="preserve"> kanaatine varmasına</w:t>
      </w:r>
      <w:r w:rsidRPr="001A7055">
        <w:rPr>
          <w:rFonts w:ascii="Times New Roman" w:hAnsi="Times New Roman"/>
          <w:sz w:val="24"/>
          <w:szCs w:val="24"/>
        </w:rPr>
        <w:t xml:space="preserve"> sebep ola</w:t>
      </w:r>
      <w:r>
        <w:rPr>
          <w:rFonts w:ascii="Times New Roman" w:hAnsi="Times New Roman"/>
          <w:sz w:val="24"/>
          <w:szCs w:val="24"/>
        </w:rPr>
        <w:t>cak</w:t>
      </w:r>
      <w:r w:rsidRPr="001A7055">
        <w:rPr>
          <w:rFonts w:ascii="Times New Roman" w:hAnsi="Times New Roman"/>
          <w:sz w:val="24"/>
          <w:szCs w:val="24"/>
        </w:rPr>
        <w:t xml:space="preserve"> bir hususun</w:t>
      </w:r>
      <w:r>
        <w:rPr>
          <w:rFonts w:ascii="Times New Roman" w:hAnsi="Times New Roman"/>
          <w:sz w:val="24"/>
          <w:szCs w:val="24"/>
        </w:rPr>
        <w:t>,</w:t>
      </w:r>
      <w:r w:rsidRPr="001A7055">
        <w:rPr>
          <w:rFonts w:ascii="Times New Roman" w:hAnsi="Times New Roman"/>
          <w:sz w:val="24"/>
          <w:szCs w:val="24"/>
        </w:rPr>
        <w:t xml:space="preserve"> denetçinin dikkatini çekip çekmediğini belirtir. </w:t>
      </w:r>
    </w:p>
    <w:p w:rsidR="00117E9F" w:rsidRPr="001A7055" w:rsidRDefault="00117E9F" w:rsidP="008A2AA9">
      <w:pPr>
        <w:pStyle w:val="ListParagraph"/>
        <w:numPr>
          <w:ilvl w:val="0"/>
          <w:numId w:val="22"/>
        </w:numPr>
        <w:spacing w:before="120" w:after="120"/>
        <w:contextualSpacing w:val="0"/>
        <w:jc w:val="both"/>
        <w:rPr>
          <w:rFonts w:ascii="Times New Roman" w:hAnsi="Times New Roman"/>
          <w:sz w:val="24"/>
          <w:szCs w:val="24"/>
        </w:rPr>
      </w:pPr>
      <w:r w:rsidRPr="001A7055">
        <w:rPr>
          <w:rFonts w:ascii="Times New Roman" w:hAnsi="Times New Roman"/>
          <w:sz w:val="24"/>
          <w:szCs w:val="24"/>
        </w:rPr>
        <w:t>İleriye yönelik finansal bilgilerin varsayımlara dayanarak uygun bir şekilde hazırlanıp hazırlanmadığı ve ilgili finansal raporlama çerçevesine uygun olarak sunulup sunulmadığına ilişkin bir görüş bildirir.</w:t>
      </w:r>
    </w:p>
    <w:p w:rsidR="00117E9F" w:rsidRPr="001A7055" w:rsidRDefault="00117E9F" w:rsidP="008A2AA9">
      <w:pPr>
        <w:pStyle w:val="ListParagraph"/>
        <w:numPr>
          <w:ilvl w:val="0"/>
          <w:numId w:val="22"/>
        </w:numPr>
        <w:spacing w:before="120" w:after="120"/>
        <w:contextualSpacing w:val="0"/>
        <w:jc w:val="both"/>
        <w:rPr>
          <w:rFonts w:ascii="Times New Roman" w:hAnsi="Times New Roman"/>
          <w:sz w:val="24"/>
          <w:szCs w:val="24"/>
        </w:rPr>
      </w:pPr>
      <w:r>
        <w:rPr>
          <w:rFonts w:ascii="Times New Roman" w:hAnsi="Times New Roman"/>
          <w:sz w:val="24"/>
          <w:szCs w:val="24"/>
        </w:rPr>
        <w:t>Ayrıca a</w:t>
      </w:r>
      <w:r w:rsidRPr="001A7055">
        <w:rPr>
          <w:rFonts w:ascii="Times New Roman" w:hAnsi="Times New Roman"/>
          <w:sz w:val="24"/>
          <w:szCs w:val="24"/>
        </w:rPr>
        <w:t xml:space="preserve">şağıdaki hususları belirtir: </w:t>
      </w:r>
    </w:p>
    <w:p w:rsidR="00117E9F" w:rsidRPr="001A7055" w:rsidRDefault="00117E9F" w:rsidP="008A2AA9">
      <w:pPr>
        <w:pStyle w:val="ListParagraph"/>
        <w:numPr>
          <w:ilvl w:val="0"/>
          <w:numId w:val="23"/>
        </w:numPr>
        <w:spacing w:before="120" w:after="120"/>
        <w:contextualSpacing w:val="0"/>
        <w:jc w:val="both"/>
        <w:rPr>
          <w:rFonts w:ascii="Times New Roman" w:hAnsi="Times New Roman"/>
          <w:sz w:val="24"/>
          <w:szCs w:val="24"/>
        </w:rPr>
      </w:pPr>
      <w:r w:rsidRPr="001A7055">
        <w:rPr>
          <w:rFonts w:ascii="Times New Roman" w:hAnsi="Times New Roman"/>
          <w:sz w:val="24"/>
          <w:szCs w:val="24"/>
        </w:rPr>
        <w:t xml:space="preserve">Öngörülen olayların genellikle beklendiği şekilde meydana gelmemesinden ve sapmanın önemli düzeyde olabilmesinden dolayı, gerçek sonuçların ileriye yönelik finansal bilgilere göre muhtemelen farklı olacağı. Benzer şekilde, ileriye yönelik finansal bilgilerin bir aralık şeklinde ifade edilmesi durumunda, gerçek sonuçların bu aralık kapsamında yer alacağına dair herhangi bir güvencenin verilmediği belirtilir ve </w:t>
      </w:r>
    </w:p>
    <w:p w:rsidR="00117E9F" w:rsidRPr="001A7055" w:rsidRDefault="00117E9F" w:rsidP="004F1019">
      <w:pPr>
        <w:pStyle w:val="ListParagraph"/>
        <w:numPr>
          <w:ilvl w:val="0"/>
          <w:numId w:val="23"/>
        </w:numPr>
        <w:spacing w:before="120" w:after="120"/>
        <w:contextualSpacing w:val="0"/>
        <w:jc w:val="both"/>
        <w:rPr>
          <w:rFonts w:ascii="Times New Roman" w:hAnsi="Times New Roman"/>
          <w:sz w:val="24"/>
          <w:szCs w:val="24"/>
        </w:rPr>
      </w:pPr>
      <w:r w:rsidRPr="001A7055">
        <w:rPr>
          <w:rFonts w:ascii="Times New Roman" w:hAnsi="Times New Roman"/>
          <w:sz w:val="24"/>
          <w:szCs w:val="24"/>
        </w:rPr>
        <w:t xml:space="preserve">Projeksiyon yapılması durumunda, ileriye yönelik finansal bilgiler, meydana gelmesi kesin olarak beklenmeyen geleceğe ilişkin olaylar ve yönetimin eylemleri -atacağı adımlar- hakkında hipoteze dayalı varsayımları içeren bir dizi varsayım </w:t>
      </w:r>
      <w:r w:rsidRPr="0049482F">
        <w:rPr>
          <w:rFonts w:ascii="Times New Roman" w:hAnsi="Times New Roman"/>
          <w:sz w:val="24"/>
          <w:szCs w:val="24"/>
        </w:rPr>
        <w:t>kullanılarak ……….</w:t>
      </w:r>
      <w:r>
        <w:rPr>
          <w:rFonts w:ascii="Times New Roman" w:hAnsi="Times New Roman"/>
          <w:sz w:val="24"/>
          <w:szCs w:val="24"/>
        </w:rPr>
        <w:t xml:space="preserve"> </w:t>
      </w:r>
      <w:r w:rsidRPr="0049482F">
        <w:rPr>
          <w:rFonts w:ascii="Times New Roman" w:hAnsi="Times New Roman"/>
          <w:sz w:val="24"/>
          <w:szCs w:val="24"/>
        </w:rPr>
        <w:t>(amaç belirtiniz)</w:t>
      </w:r>
      <w:r w:rsidRPr="001A7055">
        <w:rPr>
          <w:rFonts w:ascii="Times New Roman" w:hAnsi="Times New Roman"/>
          <w:sz w:val="24"/>
          <w:szCs w:val="24"/>
        </w:rPr>
        <w:t xml:space="preserve"> </w:t>
      </w:r>
      <w:r>
        <w:rPr>
          <w:rFonts w:ascii="Times New Roman" w:hAnsi="Times New Roman"/>
          <w:sz w:val="24"/>
          <w:szCs w:val="24"/>
        </w:rPr>
        <w:t xml:space="preserve">amacıyla </w:t>
      </w:r>
      <w:r w:rsidRPr="001A7055">
        <w:rPr>
          <w:rFonts w:ascii="Times New Roman" w:hAnsi="Times New Roman"/>
          <w:sz w:val="24"/>
          <w:szCs w:val="24"/>
        </w:rPr>
        <w:t>hazırlandığı belirtilir. Sonuç olarak</w:t>
      </w:r>
      <w:r>
        <w:rPr>
          <w:rFonts w:ascii="Times New Roman" w:hAnsi="Times New Roman"/>
          <w:sz w:val="24"/>
          <w:szCs w:val="24"/>
        </w:rPr>
        <w:t>;</w:t>
      </w:r>
      <w:r w:rsidRPr="001A7055">
        <w:rPr>
          <w:rFonts w:ascii="Times New Roman" w:hAnsi="Times New Roman"/>
          <w:sz w:val="24"/>
          <w:szCs w:val="24"/>
        </w:rPr>
        <w:t xml:space="preserve"> kullanıcılar</w:t>
      </w:r>
      <w:r>
        <w:rPr>
          <w:rFonts w:ascii="Times New Roman" w:hAnsi="Times New Roman"/>
          <w:sz w:val="24"/>
          <w:szCs w:val="24"/>
        </w:rPr>
        <w:t xml:space="preserve">ın </w:t>
      </w:r>
      <w:r w:rsidRPr="001A7055">
        <w:rPr>
          <w:rFonts w:ascii="Times New Roman" w:hAnsi="Times New Roman"/>
          <w:sz w:val="24"/>
          <w:szCs w:val="24"/>
        </w:rPr>
        <w:t xml:space="preserve">ileriye yönelik finansal bilgilerin </w:t>
      </w:r>
      <w:r w:rsidRPr="002702F2">
        <w:rPr>
          <w:rFonts w:ascii="Times New Roman" w:hAnsi="Times New Roman"/>
          <w:sz w:val="24"/>
          <w:szCs w:val="24"/>
        </w:rPr>
        <w:t>yukarıda belirtilen dışındaki amaçlara uygun</w:t>
      </w:r>
      <w:r w:rsidRPr="001A7055">
        <w:rPr>
          <w:rFonts w:ascii="Times New Roman" w:hAnsi="Times New Roman"/>
          <w:sz w:val="24"/>
          <w:szCs w:val="24"/>
        </w:rPr>
        <w:t xml:space="preserve"> olmayabileceği konusunda dikkatli olması gerektiği belirtilir.</w:t>
      </w:r>
    </w:p>
    <w:p w:rsidR="00117E9F" w:rsidRPr="001A7055" w:rsidRDefault="00117E9F" w:rsidP="008A2AA9">
      <w:pPr>
        <w:pStyle w:val="ListParagraph"/>
        <w:numPr>
          <w:ilvl w:val="0"/>
          <w:numId w:val="1"/>
        </w:numPr>
        <w:spacing w:before="120" w:after="120"/>
        <w:contextualSpacing w:val="0"/>
        <w:jc w:val="both"/>
        <w:rPr>
          <w:rFonts w:ascii="Times New Roman" w:hAnsi="Times New Roman"/>
          <w:sz w:val="24"/>
          <w:szCs w:val="24"/>
        </w:rPr>
      </w:pPr>
      <w:r w:rsidRPr="001A7055">
        <w:rPr>
          <w:rFonts w:ascii="Times New Roman" w:hAnsi="Times New Roman"/>
          <w:sz w:val="24"/>
          <w:szCs w:val="24"/>
        </w:rPr>
        <w:t>Aşağıda, bir tahmine ilişkin olarak olumlu görüş bildirilen bir rapordan yapılan alıntı örneği yer almaktadır:</w:t>
      </w:r>
    </w:p>
    <w:p w:rsidR="00117E9F" w:rsidRPr="001A7055" w:rsidRDefault="00117E9F" w:rsidP="008A2AA9">
      <w:pPr>
        <w:spacing w:before="120" w:after="120"/>
        <w:ind w:left="1416"/>
        <w:jc w:val="both"/>
        <w:rPr>
          <w:rFonts w:ascii="Times New Roman" w:hAnsi="Times New Roman"/>
          <w:sz w:val="24"/>
          <w:szCs w:val="24"/>
        </w:rPr>
      </w:pPr>
      <w:r w:rsidRPr="001A7055">
        <w:rPr>
          <w:rFonts w:ascii="Times New Roman" w:hAnsi="Times New Roman"/>
          <w:sz w:val="24"/>
          <w:szCs w:val="24"/>
        </w:rPr>
        <w:t>Tahmin</w:t>
      </w:r>
      <w:r w:rsidRPr="001A7055">
        <w:rPr>
          <w:rStyle w:val="FootnoteReference"/>
          <w:rFonts w:ascii="Times New Roman" w:hAnsi="Times New Roman"/>
          <w:sz w:val="24"/>
          <w:szCs w:val="24"/>
        </w:rPr>
        <w:footnoteReference w:id="1"/>
      </w:r>
      <w:r w:rsidRPr="001A7055">
        <w:rPr>
          <w:rFonts w:ascii="Times New Roman" w:hAnsi="Times New Roman"/>
          <w:sz w:val="24"/>
          <w:szCs w:val="24"/>
        </w:rPr>
        <w:t xml:space="preserve">, ileriye yönelik finansal bilgilerin incelenmesinde uygulanan Güvence Denetimi Standardı 3400’e uygun olarak tarafımızca incelenmiştir. Yönetim, tahmine dayanak oluşturan X Dipnotunda belirtilen varsayımlar da dâhil olmak üzere tahminden sorumludur. </w:t>
      </w:r>
    </w:p>
    <w:p w:rsidR="00117E9F" w:rsidRPr="001A7055" w:rsidRDefault="00117E9F" w:rsidP="008A2AA9">
      <w:pPr>
        <w:spacing w:before="120" w:after="120"/>
        <w:ind w:left="1416"/>
        <w:jc w:val="both"/>
        <w:rPr>
          <w:rFonts w:ascii="Times New Roman" w:hAnsi="Times New Roman"/>
          <w:sz w:val="24"/>
          <w:szCs w:val="24"/>
        </w:rPr>
      </w:pPr>
      <w:r w:rsidRPr="001A7055">
        <w:rPr>
          <w:rFonts w:ascii="Times New Roman" w:hAnsi="Times New Roman"/>
          <w:sz w:val="24"/>
          <w:szCs w:val="24"/>
        </w:rPr>
        <w:t xml:space="preserve">Varsayımları destekleyen kanıtlara ilişkin incelememize göre, bu varsayımların tahmin için makul bir dayanak oluşturmadığı </w:t>
      </w:r>
      <w:r>
        <w:rPr>
          <w:rFonts w:ascii="Times New Roman" w:hAnsi="Times New Roman"/>
          <w:sz w:val="24"/>
          <w:szCs w:val="24"/>
        </w:rPr>
        <w:t>kanaatine varmamıza</w:t>
      </w:r>
      <w:r w:rsidRPr="001A7055">
        <w:rPr>
          <w:rFonts w:ascii="Times New Roman" w:hAnsi="Times New Roman"/>
          <w:sz w:val="24"/>
          <w:szCs w:val="24"/>
        </w:rPr>
        <w:t xml:space="preserve"> sebep ola</w:t>
      </w:r>
      <w:r>
        <w:rPr>
          <w:rFonts w:ascii="Times New Roman" w:hAnsi="Times New Roman"/>
          <w:sz w:val="24"/>
          <w:szCs w:val="24"/>
        </w:rPr>
        <w:t>cak</w:t>
      </w:r>
      <w:r w:rsidRPr="001A7055">
        <w:rPr>
          <w:rFonts w:ascii="Times New Roman" w:hAnsi="Times New Roman"/>
          <w:sz w:val="24"/>
          <w:szCs w:val="24"/>
        </w:rPr>
        <w:t xml:space="preserve"> bir husus dikkatimizi çekmemiştir. Ayrıca, görüşümüze göre tahmin, varsayımlara dayanarak uygun şekilde hazırlanmış ve …</w:t>
      </w:r>
      <w:r>
        <w:rPr>
          <w:rFonts w:ascii="Times New Roman" w:hAnsi="Times New Roman"/>
          <w:sz w:val="24"/>
          <w:szCs w:val="24"/>
        </w:rPr>
        <w:t>…..</w:t>
      </w:r>
      <w:r w:rsidRPr="001A7055">
        <w:rPr>
          <w:rStyle w:val="FootnoteReference"/>
          <w:rFonts w:ascii="Times New Roman" w:hAnsi="Times New Roman"/>
          <w:sz w:val="24"/>
          <w:szCs w:val="24"/>
        </w:rPr>
        <w:footnoteReference w:id="2"/>
      </w:r>
      <w:r w:rsidRPr="001A7055">
        <w:rPr>
          <w:rFonts w:ascii="Times New Roman" w:hAnsi="Times New Roman"/>
          <w:sz w:val="24"/>
          <w:szCs w:val="24"/>
        </w:rPr>
        <w:t xml:space="preserve"> uygun olarak sunulmuştur. </w:t>
      </w:r>
    </w:p>
    <w:p w:rsidR="00117E9F" w:rsidRPr="001A7055" w:rsidRDefault="00117E9F" w:rsidP="008A2AA9">
      <w:pPr>
        <w:spacing w:before="120" w:after="120"/>
        <w:ind w:left="1416"/>
        <w:jc w:val="both"/>
        <w:rPr>
          <w:rFonts w:ascii="Times New Roman" w:hAnsi="Times New Roman"/>
          <w:sz w:val="24"/>
          <w:szCs w:val="24"/>
        </w:rPr>
      </w:pPr>
      <w:r w:rsidRPr="001A7055">
        <w:rPr>
          <w:rFonts w:ascii="Times New Roman" w:hAnsi="Times New Roman"/>
          <w:sz w:val="24"/>
          <w:szCs w:val="24"/>
        </w:rPr>
        <w:t xml:space="preserve">Öngörülen olayların genellikle beklendiği şekilde meydana gelmemesinden ve sapmanın önemli düzeyde olabilmesinden dolayı, gerçek sonuçlar ileriye yönelik finansal bilgilerden muhtemelen faklı olacaktır. </w:t>
      </w:r>
    </w:p>
    <w:p w:rsidR="00117E9F" w:rsidRPr="001A7055" w:rsidRDefault="00117E9F" w:rsidP="00B4755A">
      <w:pPr>
        <w:pStyle w:val="ListParagraph"/>
        <w:numPr>
          <w:ilvl w:val="0"/>
          <w:numId w:val="1"/>
        </w:numPr>
        <w:spacing w:before="120" w:after="120"/>
        <w:contextualSpacing w:val="0"/>
        <w:jc w:val="both"/>
        <w:rPr>
          <w:rFonts w:ascii="Times New Roman" w:hAnsi="Times New Roman"/>
          <w:sz w:val="24"/>
          <w:szCs w:val="24"/>
        </w:rPr>
      </w:pPr>
      <w:r w:rsidRPr="001A7055">
        <w:rPr>
          <w:rFonts w:ascii="Times New Roman" w:hAnsi="Times New Roman"/>
          <w:sz w:val="24"/>
          <w:szCs w:val="24"/>
        </w:rPr>
        <w:t>Aşağıda, bir projeksiyona ilişkin olarak olumlu görüş bildirilen bir rapordan yapılan alıntı örneği yer almaktadır:</w:t>
      </w:r>
    </w:p>
    <w:p w:rsidR="00117E9F" w:rsidRPr="001A7055" w:rsidRDefault="00117E9F" w:rsidP="008A2AA9">
      <w:pPr>
        <w:spacing w:before="120" w:after="120"/>
        <w:ind w:left="1416"/>
        <w:jc w:val="both"/>
        <w:rPr>
          <w:rFonts w:ascii="Times New Roman" w:hAnsi="Times New Roman"/>
          <w:sz w:val="24"/>
          <w:szCs w:val="24"/>
        </w:rPr>
      </w:pPr>
      <w:r w:rsidRPr="001A7055">
        <w:rPr>
          <w:rFonts w:ascii="Times New Roman" w:hAnsi="Times New Roman"/>
          <w:sz w:val="24"/>
          <w:szCs w:val="24"/>
        </w:rPr>
        <w:t>Projeksiyon</w:t>
      </w:r>
      <w:r w:rsidRPr="001A7055">
        <w:rPr>
          <w:rStyle w:val="FootnoteReference"/>
          <w:rFonts w:ascii="Times New Roman" w:hAnsi="Times New Roman"/>
          <w:sz w:val="24"/>
          <w:szCs w:val="24"/>
        </w:rPr>
        <w:footnoteReference w:id="3"/>
      </w:r>
      <w:r w:rsidRPr="001A7055">
        <w:rPr>
          <w:rFonts w:ascii="Times New Roman" w:hAnsi="Times New Roman"/>
          <w:sz w:val="24"/>
          <w:szCs w:val="24"/>
        </w:rPr>
        <w:t>, ileriye yönelik finansal bilgilerin incelenmesinde uygulanan Güvence Denetimi Standardı 3400’e uygun olarak tarafımızca incelenmiştir. Yönetim, projeksiyona dayanak oluşturan X Dipnotunda belirtilen varsayımlar da dâhil olmak üzere projeksiyondan sorumludur.</w:t>
      </w:r>
    </w:p>
    <w:p w:rsidR="00117E9F" w:rsidRPr="001A7055" w:rsidRDefault="00117E9F" w:rsidP="008A2AA9">
      <w:pPr>
        <w:spacing w:before="120" w:after="120"/>
        <w:ind w:left="1416"/>
        <w:jc w:val="both"/>
        <w:rPr>
          <w:rFonts w:ascii="Times New Roman" w:hAnsi="Times New Roman"/>
          <w:sz w:val="24"/>
          <w:szCs w:val="24"/>
        </w:rPr>
      </w:pPr>
      <w:r w:rsidRPr="001A7055">
        <w:rPr>
          <w:rFonts w:ascii="Times New Roman" w:hAnsi="Times New Roman"/>
          <w:sz w:val="24"/>
          <w:szCs w:val="24"/>
        </w:rPr>
        <w:t xml:space="preserve">Bu projeksiyon </w:t>
      </w:r>
      <w:r>
        <w:rPr>
          <w:rFonts w:ascii="Times New Roman" w:hAnsi="Times New Roman"/>
          <w:sz w:val="24"/>
          <w:szCs w:val="24"/>
        </w:rPr>
        <w:t xml:space="preserve">…….. </w:t>
      </w:r>
      <w:r w:rsidRPr="001A7055">
        <w:rPr>
          <w:rFonts w:ascii="Times New Roman" w:hAnsi="Times New Roman"/>
          <w:sz w:val="24"/>
          <w:szCs w:val="24"/>
        </w:rPr>
        <w:t>(amaç belirtiniz) amacıyla hazırlanmıştır. İşletme kuruluş aşamasında olduğu için projeksiyon, meydana gelmesi kesin olmayan geleceğe ilişkin olaylar ve yönetimin eylemleri hakkında hipoteze dayalı varsayımları içeren</w:t>
      </w:r>
      <w:r>
        <w:rPr>
          <w:rFonts w:ascii="Times New Roman" w:hAnsi="Times New Roman"/>
          <w:sz w:val="24"/>
          <w:szCs w:val="24"/>
        </w:rPr>
        <w:t xml:space="preserve"> </w:t>
      </w:r>
      <w:r w:rsidRPr="001A7055">
        <w:rPr>
          <w:rFonts w:ascii="Times New Roman" w:hAnsi="Times New Roman"/>
          <w:sz w:val="24"/>
          <w:szCs w:val="24"/>
        </w:rPr>
        <w:t xml:space="preserve">bir dizi varsayım kullanılarak hazırlanmıştır. Sonuç olarak, kullanıcıların bu projeksiyonun yukarıda </w:t>
      </w:r>
      <w:r w:rsidRPr="002702F2">
        <w:rPr>
          <w:rFonts w:ascii="Times New Roman" w:hAnsi="Times New Roman"/>
          <w:sz w:val="24"/>
          <w:szCs w:val="24"/>
        </w:rPr>
        <w:t>belirtilen dışındaki amaçlara</w:t>
      </w:r>
      <w:r w:rsidRPr="001A7055">
        <w:rPr>
          <w:rFonts w:ascii="Times New Roman" w:hAnsi="Times New Roman"/>
          <w:sz w:val="24"/>
          <w:szCs w:val="24"/>
        </w:rPr>
        <w:t xml:space="preserve"> uygun olmayabileceği konusunda dikkatli olması gereklidir. </w:t>
      </w:r>
    </w:p>
    <w:p w:rsidR="00117E9F" w:rsidRPr="001A7055" w:rsidRDefault="00117E9F" w:rsidP="008A2AA9">
      <w:pPr>
        <w:spacing w:before="120" w:after="120"/>
        <w:ind w:left="1416"/>
        <w:jc w:val="both"/>
        <w:rPr>
          <w:rFonts w:ascii="Times New Roman" w:hAnsi="Times New Roman"/>
          <w:sz w:val="24"/>
          <w:szCs w:val="24"/>
        </w:rPr>
      </w:pPr>
      <w:r>
        <w:rPr>
          <w:rFonts w:ascii="Times New Roman" w:hAnsi="Times New Roman"/>
          <w:sz w:val="24"/>
          <w:szCs w:val="24"/>
        </w:rPr>
        <w:t xml:space="preserve">………. </w:t>
      </w:r>
      <w:r w:rsidRPr="001A7055">
        <w:rPr>
          <w:rFonts w:ascii="Times New Roman" w:hAnsi="Times New Roman"/>
          <w:sz w:val="24"/>
          <w:szCs w:val="24"/>
        </w:rPr>
        <w:t xml:space="preserve">(Hipoteze dayalı varsayımları açıklayınız veya bunlara atıfta bulununuz) içeren varsayımları destekleyen kanıtlara ilişkin incelememize göre, </w:t>
      </w:r>
      <w:r w:rsidRPr="00134A86">
        <w:rPr>
          <w:rFonts w:ascii="Times New Roman" w:hAnsi="Times New Roman"/>
          <w:sz w:val="24"/>
          <w:szCs w:val="24"/>
        </w:rPr>
        <w:t>bu varsayımların projeksiyon için makul bir dayanak oluşturmadığı</w:t>
      </w:r>
      <w:r>
        <w:rPr>
          <w:rFonts w:ascii="Times New Roman" w:hAnsi="Times New Roman"/>
          <w:sz w:val="24"/>
          <w:szCs w:val="24"/>
        </w:rPr>
        <w:t xml:space="preserve"> kanaatine varmamıza</w:t>
      </w:r>
      <w:r w:rsidRPr="00134A86">
        <w:rPr>
          <w:rFonts w:ascii="Times New Roman" w:hAnsi="Times New Roman"/>
          <w:sz w:val="24"/>
          <w:szCs w:val="24"/>
        </w:rPr>
        <w:t xml:space="preserve"> sebep ola</w:t>
      </w:r>
      <w:r>
        <w:rPr>
          <w:rFonts w:ascii="Times New Roman" w:hAnsi="Times New Roman"/>
          <w:sz w:val="24"/>
          <w:szCs w:val="24"/>
        </w:rPr>
        <w:t>cak</w:t>
      </w:r>
      <w:r w:rsidRPr="00134A86">
        <w:rPr>
          <w:rFonts w:ascii="Times New Roman" w:hAnsi="Times New Roman"/>
          <w:sz w:val="24"/>
          <w:szCs w:val="24"/>
        </w:rPr>
        <w:t xml:space="preserve"> bir husus dikkatimizi çekmemiştir.</w:t>
      </w:r>
      <w:r w:rsidRPr="001A7055">
        <w:rPr>
          <w:rFonts w:ascii="Times New Roman" w:hAnsi="Times New Roman"/>
          <w:sz w:val="24"/>
          <w:szCs w:val="24"/>
        </w:rPr>
        <w:t xml:space="preserve"> Ayrıca, görüşümüze göre projeksiyon, varsayımlara dayanarak uygun şekilde hazırlanmış ve …</w:t>
      </w:r>
      <w:r w:rsidRPr="001A7055">
        <w:rPr>
          <w:rStyle w:val="FootnoteReference"/>
          <w:rFonts w:ascii="Times New Roman" w:hAnsi="Times New Roman"/>
          <w:sz w:val="24"/>
          <w:szCs w:val="24"/>
        </w:rPr>
        <w:footnoteReference w:id="4"/>
      </w:r>
      <w:r w:rsidRPr="001A7055">
        <w:rPr>
          <w:rFonts w:ascii="Times New Roman" w:hAnsi="Times New Roman"/>
          <w:sz w:val="24"/>
          <w:szCs w:val="24"/>
        </w:rPr>
        <w:t xml:space="preserve"> uygun olarak sunulmuştur. </w:t>
      </w:r>
    </w:p>
    <w:p w:rsidR="00117E9F" w:rsidRPr="001A7055" w:rsidRDefault="00117E9F" w:rsidP="008A2AA9">
      <w:pPr>
        <w:spacing w:before="120" w:after="120"/>
        <w:ind w:left="1416"/>
        <w:jc w:val="both"/>
        <w:rPr>
          <w:rFonts w:ascii="Times New Roman" w:hAnsi="Times New Roman"/>
          <w:sz w:val="24"/>
          <w:szCs w:val="24"/>
        </w:rPr>
      </w:pPr>
      <w:r w:rsidRPr="001A7055">
        <w:rPr>
          <w:rFonts w:ascii="Times New Roman" w:hAnsi="Times New Roman"/>
          <w:sz w:val="24"/>
          <w:szCs w:val="24"/>
        </w:rPr>
        <w:t xml:space="preserve">Yukarıda açıklanan hipoteze dayalı varsayımlara göre öngörülen olaylar gerçekleşse bile, öngörülen diğer olayların genellikle beklendiği şekilde meydana gelmemesinden ve sapmanın önemli düzeyde olabilmesinden dolayı,  gerçek sonuçlar ileriye yönelik finansal bilgilerden muhtemelen </w:t>
      </w:r>
      <w:r w:rsidRPr="008204E4">
        <w:rPr>
          <w:rFonts w:ascii="Times New Roman" w:hAnsi="Times New Roman"/>
          <w:sz w:val="24"/>
          <w:szCs w:val="24"/>
        </w:rPr>
        <w:t>farklı</w:t>
      </w:r>
      <w:r w:rsidRPr="00634DF0">
        <w:rPr>
          <w:rFonts w:ascii="Times New Roman" w:hAnsi="Times New Roman"/>
          <w:sz w:val="24"/>
          <w:szCs w:val="24"/>
          <w:shd w:val="clear" w:color="auto" w:fill="FF0000"/>
        </w:rPr>
        <w:t xml:space="preserve"> </w:t>
      </w:r>
      <w:r w:rsidRPr="001A7055">
        <w:rPr>
          <w:rFonts w:ascii="Times New Roman" w:hAnsi="Times New Roman"/>
          <w:sz w:val="24"/>
          <w:szCs w:val="24"/>
        </w:rPr>
        <w:t>olacaktır.</w:t>
      </w:r>
    </w:p>
    <w:p w:rsidR="00117E9F" w:rsidRPr="001A7055" w:rsidRDefault="00117E9F" w:rsidP="008A2AA9">
      <w:pPr>
        <w:pStyle w:val="ListParagraph"/>
        <w:numPr>
          <w:ilvl w:val="0"/>
          <w:numId w:val="1"/>
        </w:numPr>
        <w:spacing w:before="120" w:after="120"/>
        <w:contextualSpacing w:val="0"/>
        <w:jc w:val="both"/>
        <w:rPr>
          <w:rFonts w:ascii="Times New Roman" w:hAnsi="Times New Roman"/>
          <w:sz w:val="24"/>
          <w:szCs w:val="24"/>
        </w:rPr>
      </w:pPr>
      <w:r w:rsidRPr="00D03A11">
        <w:rPr>
          <w:rFonts w:ascii="Times New Roman" w:hAnsi="Times New Roman"/>
          <w:b/>
          <w:sz w:val="24"/>
          <w:szCs w:val="24"/>
        </w:rPr>
        <w:t xml:space="preserve">Denetçi, </w:t>
      </w:r>
      <w:r>
        <w:rPr>
          <w:rFonts w:ascii="Times New Roman" w:hAnsi="Times New Roman"/>
          <w:b/>
          <w:sz w:val="24"/>
          <w:szCs w:val="24"/>
        </w:rPr>
        <w:t>i</w:t>
      </w:r>
      <w:r w:rsidRPr="00D03A11">
        <w:rPr>
          <w:rFonts w:ascii="Times New Roman" w:hAnsi="Times New Roman"/>
          <w:b/>
          <w:sz w:val="24"/>
          <w:szCs w:val="24"/>
        </w:rPr>
        <w:t>leriye yönelik finansal bilgilerin sunum ve açıklamasının yeterli olmadığı kanaatine varması durumunda</w:t>
      </w:r>
      <w:r>
        <w:rPr>
          <w:rFonts w:ascii="Times New Roman" w:hAnsi="Times New Roman"/>
          <w:b/>
          <w:sz w:val="24"/>
          <w:szCs w:val="24"/>
        </w:rPr>
        <w:t>,</w:t>
      </w:r>
      <w:r w:rsidRPr="00D03A11">
        <w:rPr>
          <w:rFonts w:ascii="Times New Roman" w:hAnsi="Times New Roman"/>
          <w:b/>
          <w:sz w:val="24"/>
          <w:szCs w:val="24"/>
        </w:rPr>
        <w:t xml:space="preserve"> ileriye yönelik finansal bilgilere ilişkin rapor</w:t>
      </w:r>
      <w:r>
        <w:rPr>
          <w:rFonts w:ascii="Times New Roman" w:hAnsi="Times New Roman"/>
          <w:b/>
          <w:sz w:val="24"/>
          <w:szCs w:val="24"/>
        </w:rPr>
        <w:t>un</w:t>
      </w:r>
      <w:r w:rsidRPr="00D03A11">
        <w:rPr>
          <w:rFonts w:ascii="Times New Roman" w:hAnsi="Times New Roman"/>
          <w:b/>
          <w:sz w:val="24"/>
          <w:szCs w:val="24"/>
        </w:rPr>
        <w:t>da sınırlı olumlu görüş (şartlı görüş) veya olumsuz görüş bildirir ya da uygun hâllerde denetimden çekilir.</w:t>
      </w:r>
      <w:r w:rsidRPr="001A7055">
        <w:rPr>
          <w:rFonts w:ascii="Times New Roman" w:hAnsi="Times New Roman"/>
          <w:sz w:val="24"/>
          <w:szCs w:val="24"/>
        </w:rPr>
        <w:t xml:space="preserve"> </w:t>
      </w:r>
      <w:r>
        <w:rPr>
          <w:rFonts w:ascii="Times New Roman" w:hAnsi="Times New Roman"/>
          <w:sz w:val="24"/>
          <w:szCs w:val="24"/>
        </w:rPr>
        <w:t>İncelenen f</w:t>
      </w:r>
      <w:r w:rsidRPr="001A7055">
        <w:rPr>
          <w:rFonts w:ascii="Times New Roman" w:hAnsi="Times New Roman"/>
          <w:sz w:val="24"/>
          <w:szCs w:val="24"/>
        </w:rPr>
        <w:t xml:space="preserve">inansal bilgilerin, duyarlılığı oldukça yüksek varsayımlara ilişkin sonuçları yeterli düzeyde açıklayamaması bu duruma bir örnek teşkil eder. </w:t>
      </w:r>
    </w:p>
    <w:p w:rsidR="00117E9F" w:rsidRPr="00D03A11" w:rsidRDefault="00117E9F" w:rsidP="008A2AA9">
      <w:pPr>
        <w:pStyle w:val="ListParagraph"/>
        <w:numPr>
          <w:ilvl w:val="0"/>
          <w:numId w:val="1"/>
        </w:numPr>
        <w:spacing w:before="120" w:after="120"/>
        <w:contextualSpacing w:val="0"/>
        <w:jc w:val="both"/>
        <w:rPr>
          <w:rFonts w:ascii="Times New Roman" w:hAnsi="Times New Roman"/>
          <w:b/>
          <w:sz w:val="24"/>
          <w:szCs w:val="24"/>
        </w:rPr>
      </w:pPr>
      <w:r w:rsidRPr="00D03A11">
        <w:rPr>
          <w:rFonts w:ascii="Times New Roman" w:hAnsi="Times New Roman"/>
          <w:b/>
          <w:sz w:val="24"/>
          <w:szCs w:val="24"/>
        </w:rPr>
        <w:t>Denetçi, bir veya daha fazla önemli varsayımın en iyi tahmine veya hipoteze dayalı varsayımlar temelinde hazırlanan ileriye yönelik finansal bilgiler için makul bir dayanak sağlamadığı</w:t>
      </w:r>
      <w:r>
        <w:rPr>
          <w:rFonts w:ascii="Times New Roman" w:hAnsi="Times New Roman"/>
          <w:b/>
          <w:sz w:val="24"/>
          <w:szCs w:val="24"/>
        </w:rPr>
        <w:t xml:space="preserve"> kanaatine varması </w:t>
      </w:r>
      <w:r w:rsidRPr="00D03A11">
        <w:rPr>
          <w:rFonts w:ascii="Times New Roman" w:hAnsi="Times New Roman"/>
          <w:b/>
          <w:sz w:val="24"/>
          <w:szCs w:val="24"/>
        </w:rPr>
        <w:t>durumunda, ileriye yönelik finansal bilgilere ilişkin rapor</w:t>
      </w:r>
      <w:r>
        <w:rPr>
          <w:rFonts w:ascii="Times New Roman" w:hAnsi="Times New Roman"/>
          <w:b/>
          <w:sz w:val="24"/>
          <w:szCs w:val="24"/>
        </w:rPr>
        <w:t>un</w:t>
      </w:r>
      <w:r w:rsidRPr="00D03A11">
        <w:rPr>
          <w:rFonts w:ascii="Times New Roman" w:hAnsi="Times New Roman"/>
          <w:b/>
          <w:sz w:val="24"/>
          <w:szCs w:val="24"/>
        </w:rPr>
        <w:t>da olumsuz görüş bildirir ya da denetimden çekilir.</w:t>
      </w:r>
    </w:p>
    <w:p w:rsidR="00117E9F" w:rsidRPr="00D03A11" w:rsidRDefault="00117E9F" w:rsidP="008A2AA9">
      <w:pPr>
        <w:pStyle w:val="ListParagraph"/>
        <w:numPr>
          <w:ilvl w:val="0"/>
          <w:numId w:val="1"/>
        </w:numPr>
        <w:spacing w:before="120" w:after="120"/>
        <w:contextualSpacing w:val="0"/>
        <w:jc w:val="both"/>
        <w:rPr>
          <w:rFonts w:ascii="Times New Roman" w:hAnsi="Times New Roman"/>
          <w:b/>
          <w:sz w:val="24"/>
          <w:szCs w:val="24"/>
        </w:rPr>
      </w:pPr>
      <w:r w:rsidRPr="00D03A11">
        <w:rPr>
          <w:rFonts w:ascii="Times New Roman" w:hAnsi="Times New Roman"/>
          <w:b/>
          <w:sz w:val="24"/>
          <w:szCs w:val="24"/>
        </w:rPr>
        <w:t>İncelemenin</w:t>
      </w:r>
      <w:r>
        <w:rPr>
          <w:rFonts w:ascii="Times New Roman" w:hAnsi="Times New Roman"/>
          <w:b/>
          <w:sz w:val="24"/>
          <w:szCs w:val="24"/>
        </w:rPr>
        <w:t>,</w:t>
      </w:r>
      <w:r w:rsidRPr="00D03A11">
        <w:rPr>
          <w:rFonts w:ascii="Times New Roman" w:hAnsi="Times New Roman"/>
          <w:b/>
          <w:sz w:val="24"/>
          <w:szCs w:val="24"/>
        </w:rPr>
        <w:t xml:space="preserve"> içinde bulunulan şartlarda gerekli olan bir veya daha fazla prosedürün uygulanmasını önleyen durumlardan etkilenmesi </w:t>
      </w:r>
      <w:r>
        <w:rPr>
          <w:rFonts w:ascii="Times New Roman" w:hAnsi="Times New Roman"/>
          <w:b/>
          <w:sz w:val="24"/>
          <w:szCs w:val="24"/>
        </w:rPr>
        <w:t>hâlinde,</w:t>
      </w:r>
      <w:r w:rsidRPr="00D03A11">
        <w:rPr>
          <w:rFonts w:ascii="Times New Roman" w:hAnsi="Times New Roman"/>
          <w:b/>
          <w:sz w:val="24"/>
          <w:szCs w:val="24"/>
        </w:rPr>
        <w:t xml:space="preserve"> </w:t>
      </w:r>
      <w:r>
        <w:rPr>
          <w:rFonts w:ascii="Times New Roman" w:hAnsi="Times New Roman"/>
          <w:b/>
          <w:sz w:val="24"/>
          <w:szCs w:val="24"/>
        </w:rPr>
        <w:t>d</w:t>
      </w:r>
      <w:r w:rsidRPr="00D03A11">
        <w:rPr>
          <w:rFonts w:ascii="Times New Roman" w:hAnsi="Times New Roman"/>
          <w:b/>
          <w:sz w:val="24"/>
          <w:szCs w:val="24"/>
        </w:rPr>
        <w:t xml:space="preserve">enetçi denetimden çekilir veya görüş bildirmekten kaçınır ve ileriye yönelik finansal bilgilere ilişkin raporunda kapsam sınırlamasını açıklar. </w:t>
      </w:r>
    </w:p>
    <w:sectPr w:rsidR="00117E9F" w:rsidRPr="00D03A11" w:rsidSect="00DC17D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E9F" w:rsidRDefault="00117E9F" w:rsidP="007F4D61">
      <w:pPr>
        <w:spacing w:after="0" w:line="240" w:lineRule="auto"/>
      </w:pPr>
      <w:r>
        <w:separator/>
      </w:r>
    </w:p>
  </w:endnote>
  <w:endnote w:type="continuationSeparator" w:id="0">
    <w:p w:rsidR="00117E9F" w:rsidRDefault="00117E9F" w:rsidP="007F4D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MS Gothic">
    <w:altName w:val="?l?r ?S?V?b?N"/>
    <w:panose1 w:val="020B0609070205080204"/>
    <w:charset w:val="80"/>
    <w:family w:val="modern"/>
    <w:pitch w:val="fixed"/>
    <w:sig w:usb0="E00002FF" w:usb1="6AC7FDFB" w:usb2="00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E9F" w:rsidRDefault="00117E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E9F" w:rsidRPr="00DC17DC" w:rsidRDefault="00117E9F">
    <w:pPr>
      <w:pStyle w:val="Footer"/>
      <w:jc w:val="right"/>
    </w:pPr>
    <w:fldSimple w:instr="PAGE   \* MERGEFORMAT">
      <w:r>
        <w:rPr>
          <w:noProof/>
        </w:rPr>
        <w:t>11</w:t>
      </w:r>
    </w:fldSimple>
  </w:p>
  <w:p w:rsidR="00117E9F" w:rsidRDefault="00117E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E9F" w:rsidRDefault="00117E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E9F" w:rsidRDefault="00117E9F" w:rsidP="007F4D61">
      <w:pPr>
        <w:spacing w:after="0" w:line="240" w:lineRule="auto"/>
      </w:pPr>
      <w:r>
        <w:separator/>
      </w:r>
    </w:p>
  </w:footnote>
  <w:footnote w:type="continuationSeparator" w:id="0">
    <w:p w:rsidR="00117E9F" w:rsidRDefault="00117E9F" w:rsidP="007F4D61">
      <w:pPr>
        <w:spacing w:after="0" w:line="240" w:lineRule="auto"/>
      </w:pPr>
      <w:r>
        <w:continuationSeparator/>
      </w:r>
    </w:p>
  </w:footnote>
  <w:footnote w:id="1">
    <w:p w:rsidR="00117E9F" w:rsidRDefault="00117E9F">
      <w:pPr>
        <w:pStyle w:val="FootnoteText"/>
      </w:pPr>
      <w:r w:rsidRPr="00333DB5">
        <w:rPr>
          <w:rStyle w:val="FootnoteReference"/>
        </w:rPr>
        <w:footnoteRef/>
      </w:r>
      <w:r w:rsidRPr="00333DB5">
        <w:t xml:space="preserve"> </w:t>
      </w:r>
      <w:r w:rsidRPr="00333DB5">
        <w:rPr>
          <w:sz w:val="16"/>
          <w:szCs w:val="16"/>
        </w:rPr>
        <w:t xml:space="preserve">İşletmenin adını ve tahminin kapsadığı dönemi giriniz ve </w:t>
      </w:r>
      <w:r>
        <w:rPr>
          <w:sz w:val="16"/>
          <w:szCs w:val="16"/>
        </w:rPr>
        <w:t xml:space="preserve">münferit </w:t>
      </w:r>
      <w:r w:rsidRPr="00333DB5">
        <w:rPr>
          <w:sz w:val="16"/>
          <w:szCs w:val="16"/>
        </w:rPr>
        <w:t>tabloları belir</w:t>
      </w:r>
      <w:r>
        <w:rPr>
          <w:sz w:val="16"/>
          <w:szCs w:val="16"/>
        </w:rPr>
        <w:t>t</w:t>
      </w:r>
      <w:r w:rsidRPr="00333DB5">
        <w:rPr>
          <w:sz w:val="16"/>
          <w:szCs w:val="16"/>
        </w:rPr>
        <w:t>mek veya sayfa numaralarına atıfta bulunmak gibi uygun belirlemeleri yapınız.</w:t>
      </w:r>
      <w:r>
        <w:t xml:space="preserve"> </w:t>
      </w:r>
    </w:p>
  </w:footnote>
  <w:footnote w:id="2">
    <w:p w:rsidR="00117E9F" w:rsidRDefault="00117E9F">
      <w:pPr>
        <w:pStyle w:val="FootnoteText"/>
      </w:pPr>
      <w:r>
        <w:rPr>
          <w:rStyle w:val="FootnoteReference"/>
        </w:rPr>
        <w:footnoteRef/>
      </w:r>
      <w:r>
        <w:t xml:space="preserve"> </w:t>
      </w:r>
      <w:r>
        <w:rPr>
          <w:sz w:val="16"/>
          <w:szCs w:val="16"/>
        </w:rPr>
        <w:t xml:space="preserve">İlgili finansal raporlama çerçevesini belirtiniz. </w:t>
      </w:r>
      <w:r>
        <w:t xml:space="preserve"> </w:t>
      </w:r>
    </w:p>
  </w:footnote>
  <w:footnote w:id="3">
    <w:p w:rsidR="00117E9F" w:rsidRDefault="00117E9F">
      <w:pPr>
        <w:pStyle w:val="FootnoteText"/>
      </w:pPr>
      <w:r w:rsidRPr="00333DB5">
        <w:rPr>
          <w:rStyle w:val="FootnoteReference"/>
        </w:rPr>
        <w:footnoteRef/>
      </w:r>
      <w:r w:rsidRPr="00333DB5">
        <w:rPr>
          <w:rStyle w:val="FootnoteReference"/>
        </w:rPr>
        <w:t xml:space="preserve"> </w:t>
      </w:r>
      <w:r w:rsidRPr="00333DB5">
        <w:rPr>
          <w:sz w:val="16"/>
          <w:szCs w:val="16"/>
        </w:rPr>
        <w:t xml:space="preserve">İşletmenin adını ve </w:t>
      </w:r>
      <w:r>
        <w:rPr>
          <w:sz w:val="16"/>
          <w:szCs w:val="16"/>
        </w:rPr>
        <w:t>projeksiyonun</w:t>
      </w:r>
      <w:r w:rsidRPr="00333DB5">
        <w:rPr>
          <w:sz w:val="16"/>
          <w:szCs w:val="16"/>
        </w:rPr>
        <w:t xml:space="preserve"> kapsadığı dönemi giriniz ve </w:t>
      </w:r>
      <w:r>
        <w:rPr>
          <w:sz w:val="16"/>
          <w:szCs w:val="16"/>
        </w:rPr>
        <w:t>münferit tabloları belirt</w:t>
      </w:r>
      <w:r w:rsidRPr="00333DB5">
        <w:rPr>
          <w:sz w:val="16"/>
          <w:szCs w:val="16"/>
        </w:rPr>
        <w:t>mek veya sayfa numaralarına atıfta bulunmak gibi uygun belirlemeleri yapınız.</w:t>
      </w:r>
    </w:p>
  </w:footnote>
  <w:footnote w:id="4">
    <w:p w:rsidR="00117E9F" w:rsidRDefault="00117E9F">
      <w:pPr>
        <w:pStyle w:val="FootnoteText"/>
      </w:pPr>
      <w:r w:rsidRPr="00333DB5">
        <w:rPr>
          <w:rStyle w:val="FootnoteReference"/>
        </w:rPr>
        <w:footnoteRef/>
      </w:r>
      <w:r w:rsidRPr="00333DB5">
        <w:rPr>
          <w:rStyle w:val="FootnoteReference"/>
        </w:rPr>
        <w:t xml:space="preserve"> </w:t>
      </w:r>
      <w:r w:rsidRPr="00333DB5">
        <w:rPr>
          <w:sz w:val="16"/>
          <w:szCs w:val="16"/>
        </w:rPr>
        <w:t>Bakınız: 2 nci dipnot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E9F" w:rsidRDefault="00117E9F" w:rsidP="00DD1A8F">
    <w:pPr>
      <w:pStyle w:val="Header"/>
      <w:rPr>
        <w:rFonts w:ascii="Arial Unicode MS" w:eastAsia="Arial Unicode MS" w:hAnsi="Arial Unicode MS" w:cs="Arial Unicode MS"/>
        <w:color w:val="C0C0C0"/>
        <w:sz w:val="23"/>
      </w:rPr>
    </w:pPr>
    <w:bookmarkStart w:id="0" w:name="aliashSınıflandırmaÜstbi1HeaderEvenPages"/>
  </w:p>
  <w:bookmarkEnd w:id="0"/>
  <w:p w:rsidR="00117E9F" w:rsidRDefault="00117E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E9F" w:rsidRDefault="00117E9F" w:rsidP="00DD1A8F">
    <w:pPr>
      <w:pStyle w:val="Header"/>
      <w:rPr>
        <w:rFonts w:ascii="Arial Unicode MS" w:eastAsia="Arial Unicode MS" w:hAnsi="Arial Unicode MS" w:cs="Arial Unicode MS"/>
        <w:color w:val="C0C0C0"/>
        <w:sz w:val="23"/>
      </w:rPr>
    </w:pPr>
    <w:bookmarkStart w:id="1" w:name="aliashSınıflandırmaÜstbilg1HeaderPrimary"/>
  </w:p>
  <w:bookmarkEnd w:id="1"/>
  <w:p w:rsidR="00117E9F" w:rsidRDefault="00117E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E9F" w:rsidRDefault="00117E9F" w:rsidP="00DD1A8F">
    <w:pPr>
      <w:pStyle w:val="Header"/>
      <w:rPr>
        <w:rFonts w:ascii="Arial Unicode MS" w:eastAsia="Arial Unicode MS" w:hAnsi="Arial Unicode MS" w:cs="Arial Unicode MS"/>
        <w:color w:val="C0C0C0"/>
        <w:sz w:val="23"/>
      </w:rPr>
    </w:pPr>
    <w:bookmarkStart w:id="2" w:name="aliashSınıflandırmaÜstbi1HeaderFirstPage"/>
  </w:p>
  <w:bookmarkEnd w:id="2"/>
  <w:p w:rsidR="00117E9F" w:rsidRDefault="00117E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20319"/>
    <w:multiLevelType w:val="hybridMultilevel"/>
    <w:tmpl w:val="B6F8FD90"/>
    <w:lvl w:ilvl="0" w:tplc="556A2110">
      <w:start w:val="1"/>
      <w:numFmt w:val="decimal"/>
      <w:lvlText w:val="(%1)"/>
      <w:lvlJc w:val="left"/>
      <w:pPr>
        <w:ind w:left="720" w:hanging="360"/>
      </w:pPr>
      <w:rPr>
        <w:rFonts w:cs="Times New Roman" w:hint="default"/>
        <w:b w:val="0"/>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
    <w:nsid w:val="049A2994"/>
    <w:multiLevelType w:val="hybridMultilevel"/>
    <w:tmpl w:val="7D1C2268"/>
    <w:lvl w:ilvl="0" w:tplc="EB62B33E">
      <w:start w:val="1"/>
      <w:numFmt w:val="lowerLetter"/>
      <w:lvlText w:val="(%1)"/>
      <w:lvlJc w:val="left"/>
      <w:pPr>
        <w:ind w:left="1211" w:hanging="360"/>
      </w:pPr>
      <w:rPr>
        <w:rFonts w:cs="Times New Roman" w:hint="default"/>
        <w:b w:val="0"/>
      </w:rPr>
    </w:lvl>
    <w:lvl w:ilvl="1" w:tplc="041F0019">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2">
    <w:nsid w:val="05D020D0"/>
    <w:multiLevelType w:val="hybridMultilevel"/>
    <w:tmpl w:val="EECE1238"/>
    <w:lvl w:ilvl="0" w:tplc="C136E248">
      <w:start w:val="1"/>
      <w:numFmt w:val="decimal"/>
      <w:lvlText w:val="(%1)"/>
      <w:lvlJc w:val="left"/>
      <w:pPr>
        <w:ind w:left="1068" w:hanging="360"/>
      </w:pPr>
      <w:rPr>
        <w:rFonts w:cs="Times New Roman" w:hint="default"/>
        <w:b w:val="0"/>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3">
    <w:nsid w:val="0BD23B76"/>
    <w:multiLevelType w:val="hybridMultilevel"/>
    <w:tmpl w:val="22488472"/>
    <w:lvl w:ilvl="0" w:tplc="041F000F">
      <w:start w:val="1"/>
      <w:numFmt w:val="decimal"/>
      <w:lvlText w:val="%1."/>
      <w:lvlJc w:val="left"/>
      <w:pPr>
        <w:ind w:left="720" w:hanging="360"/>
      </w:pPr>
      <w:rPr>
        <w:rFonts w:cs="Times New Roman" w:hint="default"/>
        <w:b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0C5435C3"/>
    <w:multiLevelType w:val="hybridMultilevel"/>
    <w:tmpl w:val="6F2665E8"/>
    <w:lvl w:ilvl="0" w:tplc="EB62B33E">
      <w:start w:val="1"/>
      <w:numFmt w:val="lowerLetter"/>
      <w:lvlText w:val="(%1)"/>
      <w:lvlJc w:val="left"/>
      <w:pPr>
        <w:ind w:left="720" w:hanging="360"/>
      </w:pPr>
      <w:rPr>
        <w:rFonts w:cs="Times New Roman" w:hint="default"/>
        <w:b w:val="0"/>
      </w:rPr>
    </w:lvl>
    <w:lvl w:ilvl="1" w:tplc="041F0019">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5">
    <w:nsid w:val="0DCF74F0"/>
    <w:multiLevelType w:val="hybridMultilevel"/>
    <w:tmpl w:val="C7906892"/>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nsid w:val="113541BE"/>
    <w:multiLevelType w:val="hybridMultilevel"/>
    <w:tmpl w:val="91F29B10"/>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nsid w:val="16735CAA"/>
    <w:multiLevelType w:val="hybridMultilevel"/>
    <w:tmpl w:val="51F816BE"/>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nsid w:val="1C594965"/>
    <w:multiLevelType w:val="hybridMultilevel"/>
    <w:tmpl w:val="46A6A5D0"/>
    <w:lvl w:ilvl="0" w:tplc="AEF2F76C">
      <w:start w:val="1"/>
      <w:numFmt w:val="decimal"/>
      <w:lvlText w:val="%1."/>
      <w:lvlJc w:val="left"/>
      <w:pPr>
        <w:ind w:left="720" w:hanging="360"/>
      </w:pPr>
      <w:rPr>
        <w:rFonts w:cs="Times New Roman"/>
        <w:b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nsid w:val="213471F5"/>
    <w:multiLevelType w:val="hybridMultilevel"/>
    <w:tmpl w:val="0420973C"/>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nsid w:val="25D179AB"/>
    <w:multiLevelType w:val="hybridMultilevel"/>
    <w:tmpl w:val="6C068F46"/>
    <w:lvl w:ilvl="0" w:tplc="3B6AB9BE">
      <w:start w:val="1"/>
      <w:numFmt w:val="upperRoman"/>
      <w:lvlText w:val="%1."/>
      <w:lvlJc w:val="left"/>
      <w:pPr>
        <w:ind w:left="6744" w:hanging="720"/>
      </w:pPr>
      <w:rPr>
        <w:rFonts w:cs="Times New Roman" w:hint="default"/>
      </w:rPr>
    </w:lvl>
    <w:lvl w:ilvl="1" w:tplc="041F0019">
      <w:start w:val="1"/>
      <w:numFmt w:val="lowerLetter"/>
      <w:lvlText w:val="%2."/>
      <w:lvlJc w:val="left"/>
      <w:pPr>
        <w:ind w:left="7104" w:hanging="360"/>
      </w:pPr>
      <w:rPr>
        <w:rFonts w:cs="Times New Roman"/>
      </w:rPr>
    </w:lvl>
    <w:lvl w:ilvl="2" w:tplc="041F001B" w:tentative="1">
      <w:start w:val="1"/>
      <w:numFmt w:val="lowerRoman"/>
      <w:lvlText w:val="%3."/>
      <w:lvlJc w:val="right"/>
      <w:pPr>
        <w:ind w:left="7824" w:hanging="180"/>
      </w:pPr>
      <w:rPr>
        <w:rFonts w:cs="Times New Roman"/>
      </w:rPr>
    </w:lvl>
    <w:lvl w:ilvl="3" w:tplc="041F000F" w:tentative="1">
      <w:start w:val="1"/>
      <w:numFmt w:val="decimal"/>
      <w:lvlText w:val="%4."/>
      <w:lvlJc w:val="left"/>
      <w:pPr>
        <w:ind w:left="8544" w:hanging="360"/>
      </w:pPr>
      <w:rPr>
        <w:rFonts w:cs="Times New Roman"/>
      </w:rPr>
    </w:lvl>
    <w:lvl w:ilvl="4" w:tplc="041F0019" w:tentative="1">
      <w:start w:val="1"/>
      <w:numFmt w:val="lowerLetter"/>
      <w:lvlText w:val="%5."/>
      <w:lvlJc w:val="left"/>
      <w:pPr>
        <w:ind w:left="9264" w:hanging="360"/>
      </w:pPr>
      <w:rPr>
        <w:rFonts w:cs="Times New Roman"/>
      </w:rPr>
    </w:lvl>
    <w:lvl w:ilvl="5" w:tplc="041F001B" w:tentative="1">
      <w:start w:val="1"/>
      <w:numFmt w:val="lowerRoman"/>
      <w:lvlText w:val="%6."/>
      <w:lvlJc w:val="right"/>
      <w:pPr>
        <w:ind w:left="9984" w:hanging="180"/>
      </w:pPr>
      <w:rPr>
        <w:rFonts w:cs="Times New Roman"/>
      </w:rPr>
    </w:lvl>
    <w:lvl w:ilvl="6" w:tplc="041F000F" w:tentative="1">
      <w:start w:val="1"/>
      <w:numFmt w:val="decimal"/>
      <w:lvlText w:val="%7."/>
      <w:lvlJc w:val="left"/>
      <w:pPr>
        <w:ind w:left="10704" w:hanging="360"/>
      </w:pPr>
      <w:rPr>
        <w:rFonts w:cs="Times New Roman"/>
      </w:rPr>
    </w:lvl>
    <w:lvl w:ilvl="7" w:tplc="041F0019" w:tentative="1">
      <w:start w:val="1"/>
      <w:numFmt w:val="lowerLetter"/>
      <w:lvlText w:val="%8."/>
      <w:lvlJc w:val="left"/>
      <w:pPr>
        <w:ind w:left="11424" w:hanging="360"/>
      </w:pPr>
      <w:rPr>
        <w:rFonts w:cs="Times New Roman"/>
      </w:rPr>
    </w:lvl>
    <w:lvl w:ilvl="8" w:tplc="041F001B" w:tentative="1">
      <w:start w:val="1"/>
      <w:numFmt w:val="lowerRoman"/>
      <w:lvlText w:val="%9."/>
      <w:lvlJc w:val="right"/>
      <w:pPr>
        <w:ind w:left="12144" w:hanging="180"/>
      </w:pPr>
      <w:rPr>
        <w:rFonts w:cs="Times New Roman"/>
      </w:rPr>
    </w:lvl>
  </w:abstractNum>
  <w:abstractNum w:abstractNumId="11">
    <w:nsid w:val="2EF3657E"/>
    <w:multiLevelType w:val="hybridMultilevel"/>
    <w:tmpl w:val="9AD20D94"/>
    <w:lvl w:ilvl="0" w:tplc="041F0003">
      <w:start w:val="1"/>
      <w:numFmt w:val="bullet"/>
      <w:lvlText w:val="o"/>
      <w:lvlJc w:val="left"/>
      <w:pPr>
        <w:ind w:left="1776" w:hanging="360"/>
      </w:pPr>
      <w:rPr>
        <w:rFonts w:ascii="Courier New" w:hAnsi="Courier New" w:hint="default"/>
      </w:rPr>
    </w:lvl>
    <w:lvl w:ilvl="1" w:tplc="041F0003" w:tentative="1">
      <w:start w:val="1"/>
      <w:numFmt w:val="bullet"/>
      <w:lvlText w:val="o"/>
      <w:lvlJc w:val="left"/>
      <w:pPr>
        <w:ind w:left="2496" w:hanging="360"/>
      </w:pPr>
      <w:rPr>
        <w:rFonts w:ascii="Courier New" w:hAnsi="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2">
    <w:nsid w:val="302B26D2"/>
    <w:multiLevelType w:val="hybridMultilevel"/>
    <w:tmpl w:val="02F25E6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nsid w:val="31EB33C7"/>
    <w:multiLevelType w:val="hybridMultilevel"/>
    <w:tmpl w:val="FC56167E"/>
    <w:lvl w:ilvl="0" w:tplc="1D5A7898">
      <w:start w:val="1"/>
      <w:numFmt w:val="lowerLetter"/>
      <w:lvlText w:val="(%1)"/>
      <w:lvlJc w:val="left"/>
      <w:pPr>
        <w:ind w:left="720" w:hanging="360"/>
      </w:pPr>
      <w:rPr>
        <w:rFonts w:cs="Times New Roman" w:hint="default"/>
        <w:b w:val="0"/>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4">
    <w:nsid w:val="34B82628"/>
    <w:multiLevelType w:val="hybridMultilevel"/>
    <w:tmpl w:val="0B6EBC24"/>
    <w:lvl w:ilvl="0" w:tplc="EB62B33E">
      <w:start w:val="1"/>
      <w:numFmt w:val="lowerLetter"/>
      <w:lvlText w:val="(%1)"/>
      <w:lvlJc w:val="left"/>
      <w:pPr>
        <w:ind w:left="720" w:hanging="360"/>
      </w:pPr>
      <w:rPr>
        <w:rFonts w:cs="Times New Roman" w:hint="default"/>
        <w:b w:val="0"/>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5">
    <w:nsid w:val="35912BD8"/>
    <w:multiLevelType w:val="hybridMultilevel"/>
    <w:tmpl w:val="5FC47E68"/>
    <w:lvl w:ilvl="0" w:tplc="C136E248">
      <w:start w:val="1"/>
      <w:numFmt w:val="decimal"/>
      <w:lvlText w:val="(%1)"/>
      <w:lvlJc w:val="left"/>
      <w:pPr>
        <w:ind w:left="1068" w:hanging="360"/>
      </w:pPr>
      <w:rPr>
        <w:rFonts w:cs="Times New Roman" w:hint="default"/>
        <w:b w:val="0"/>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6">
    <w:nsid w:val="38B95D6C"/>
    <w:multiLevelType w:val="hybridMultilevel"/>
    <w:tmpl w:val="A8F0A2D8"/>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nsid w:val="3908343E"/>
    <w:multiLevelType w:val="hybridMultilevel"/>
    <w:tmpl w:val="F3F4680E"/>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nsid w:val="3AF62007"/>
    <w:multiLevelType w:val="hybridMultilevel"/>
    <w:tmpl w:val="AF2C9F64"/>
    <w:lvl w:ilvl="0" w:tplc="C136E248">
      <w:start w:val="1"/>
      <w:numFmt w:val="decimal"/>
      <w:lvlText w:val="(%1)"/>
      <w:lvlJc w:val="left"/>
      <w:pPr>
        <w:ind w:left="1068" w:hanging="360"/>
      </w:pPr>
      <w:rPr>
        <w:rFonts w:cs="Times New Roman" w:hint="default"/>
        <w:b w:val="0"/>
      </w:rPr>
    </w:lvl>
    <w:lvl w:ilvl="1" w:tplc="041F0019">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9">
    <w:nsid w:val="3C831E43"/>
    <w:multiLevelType w:val="hybridMultilevel"/>
    <w:tmpl w:val="672A32FA"/>
    <w:lvl w:ilvl="0" w:tplc="C136E248">
      <w:start w:val="1"/>
      <w:numFmt w:val="decimal"/>
      <w:lvlText w:val="(%1)"/>
      <w:lvlJc w:val="left"/>
      <w:pPr>
        <w:ind w:left="720" w:hanging="360"/>
      </w:pPr>
      <w:rPr>
        <w:rFonts w:cs="Times New Roman" w:hint="default"/>
        <w:b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0">
    <w:nsid w:val="476B1231"/>
    <w:multiLevelType w:val="hybridMultilevel"/>
    <w:tmpl w:val="49C8F11A"/>
    <w:lvl w:ilvl="0" w:tplc="041F000F">
      <w:start w:val="1"/>
      <w:numFmt w:val="decimal"/>
      <w:lvlText w:val="%1."/>
      <w:lvlJc w:val="left"/>
      <w:pPr>
        <w:ind w:left="720" w:hanging="360"/>
      </w:pPr>
      <w:rPr>
        <w:rFonts w:cs="Times New Roman" w:hint="default"/>
        <w:b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1">
    <w:nsid w:val="47A83364"/>
    <w:multiLevelType w:val="hybridMultilevel"/>
    <w:tmpl w:val="80885180"/>
    <w:lvl w:ilvl="0" w:tplc="C136E248">
      <w:start w:val="1"/>
      <w:numFmt w:val="decimal"/>
      <w:lvlText w:val="(%1)"/>
      <w:lvlJc w:val="left"/>
      <w:pPr>
        <w:ind w:left="1068" w:hanging="360"/>
      </w:pPr>
      <w:rPr>
        <w:rFonts w:cs="Times New Roman" w:hint="default"/>
        <w:b w:val="0"/>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22">
    <w:nsid w:val="481F240E"/>
    <w:multiLevelType w:val="hybridMultilevel"/>
    <w:tmpl w:val="E19A69B2"/>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3">
    <w:nsid w:val="4CA463EA"/>
    <w:multiLevelType w:val="hybridMultilevel"/>
    <w:tmpl w:val="C8981CFE"/>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4">
    <w:nsid w:val="57FD5D28"/>
    <w:multiLevelType w:val="hybridMultilevel"/>
    <w:tmpl w:val="3D1E0232"/>
    <w:lvl w:ilvl="0" w:tplc="C136E248">
      <w:start w:val="1"/>
      <w:numFmt w:val="decimal"/>
      <w:lvlText w:val="(%1)"/>
      <w:lvlJc w:val="left"/>
      <w:pPr>
        <w:ind w:left="720" w:hanging="360"/>
      </w:pPr>
      <w:rPr>
        <w:rFonts w:cs="Times New Roman" w:hint="default"/>
        <w:b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5">
    <w:nsid w:val="5AE1312A"/>
    <w:multiLevelType w:val="hybridMultilevel"/>
    <w:tmpl w:val="89A8896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6">
    <w:nsid w:val="6002041E"/>
    <w:multiLevelType w:val="hybridMultilevel"/>
    <w:tmpl w:val="209C7E48"/>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7">
    <w:nsid w:val="617A6153"/>
    <w:multiLevelType w:val="hybridMultilevel"/>
    <w:tmpl w:val="F4C25676"/>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8">
    <w:nsid w:val="6A2A0FF1"/>
    <w:multiLevelType w:val="hybridMultilevel"/>
    <w:tmpl w:val="7E6A4A90"/>
    <w:lvl w:ilvl="0" w:tplc="EB62B33E">
      <w:start w:val="1"/>
      <w:numFmt w:val="lowerLetter"/>
      <w:lvlText w:val="(%1)"/>
      <w:lvlJc w:val="left"/>
      <w:pPr>
        <w:ind w:left="720" w:hanging="360"/>
      </w:pPr>
      <w:rPr>
        <w:rFonts w:cs="Times New Roman" w:hint="default"/>
        <w:b w:val="0"/>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29">
    <w:nsid w:val="6C595F41"/>
    <w:multiLevelType w:val="hybridMultilevel"/>
    <w:tmpl w:val="17B6F6E0"/>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0">
    <w:nsid w:val="755923EB"/>
    <w:multiLevelType w:val="hybridMultilevel"/>
    <w:tmpl w:val="59D6F68E"/>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8"/>
  </w:num>
  <w:num w:numId="2">
    <w:abstractNumId w:val="0"/>
  </w:num>
  <w:num w:numId="3">
    <w:abstractNumId w:val="26"/>
  </w:num>
  <w:num w:numId="4">
    <w:abstractNumId w:val="13"/>
  </w:num>
  <w:num w:numId="5">
    <w:abstractNumId w:val="16"/>
  </w:num>
  <w:num w:numId="6">
    <w:abstractNumId w:val="21"/>
  </w:num>
  <w:num w:numId="7">
    <w:abstractNumId w:val="12"/>
  </w:num>
  <w:num w:numId="8">
    <w:abstractNumId w:val="22"/>
  </w:num>
  <w:num w:numId="9">
    <w:abstractNumId w:val="27"/>
  </w:num>
  <w:num w:numId="10">
    <w:abstractNumId w:val="23"/>
  </w:num>
  <w:num w:numId="11">
    <w:abstractNumId w:val="6"/>
  </w:num>
  <w:num w:numId="12">
    <w:abstractNumId w:val="5"/>
  </w:num>
  <w:num w:numId="13">
    <w:abstractNumId w:val="29"/>
  </w:num>
  <w:num w:numId="14">
    <w:abstractNumId w:val="18"/>
  </w:num>
  <w:num w:numId="15">
    <w:abstractNumId w:val="17"/>
  </w:num>
  <w:num w:numId="16">
    <w:abstractNumId w:val="30"/>
  </w:num>
  <w:num w:numId="17">
    <w:abstractNumId w:val="15"/>
  </w:num>
  <w:num w:numId="18">
    <w:abstractNumId w:val="24"/>
  </w:num>
  <w:num w:numId="19">
    <w:abstractNumId w:val="20"/>
  </w:num>
  <w:num w:numId="20">
    <w:abstractNumId w:val="3"/>
  </w:num>
  <w:num w:numId="21">
    <w:abstractNumId w:val="2"/>
  </w:num>
  <w:num w:numId="22">
    <w:abstractNumId w:val="25"/>
  </w:num>
  <w:num w:numId="23">
    <w:abstractNumId w:val="11"/>
  </w:num>
  <w:num w:numId="24">
    <w:abstractNumId w:val="19"/>
  </w:num>
  <w:num w:numId="25">
    <w:abstractNumId w:val="7"/>
  </w:num>
  <w:num w:numId="26">
    <w:abstractNumId w:val="9"/>
  </w:num>
  <w:num w:numId="27">
    <w:abstractNumId w:val="4"/>
  </w:num>
  <w:num w:numId="28">
    <w:abstractNumId w:val="1"/>
  </w:num>
  <w:num w:numId="29">
    <w:abstractNumId w:val="28"/>
  </w:num>
  <w:num w:numId="30">
    <w:abstractNumId w:val="14"/>
  </w:num>
  <w:num w:numId="3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4F19"/>
    <w:rsid w:val="000022A7"/>
    <w:rsid w:val="00005FD7"/>
    <w:rsid w:val="00010ABE"/>
    <w:rsid w:val="0002264D"/>
    <w:rsid w:val="00022F18"/>
    <w:rsid w:val="000328F9"/>
    <w:rsid w:val="0003418F"/>
    <w:rsid w:val="000363A7"/>
    <w:rsid w:val="0005407F"/>
    <w:rsid w:val="0006358C"/>
    <w:rsid w:val="00073599"/>
    <w:rsid w:val="000805D3"/>
    <w:rsid w:val="00081C42"/>
    <w:rsid w:val="000845C3"/>
    <w:rsid w:val="00084B87"/>
    <w:rsid w:val="000919ED"/>
    <w:rsid w:val="0009203A"/>
    <w:rsid w:val="00097BA5"/>
    <w:rsid w:val="000A4754"/>
    <w:rsid w:val="000B5C27"/>
    <w:rsid w:val="000C4340"/>
    <w:rsid w:val="000C4764"/>
    <w:rsid w:val="000C47E6"/>
    <w:rsid w:val="000C67C9"/>
    <w:rsid w:val="000D7344"/>
    <w:rsid w:val="000E377D"/>
    <w:rsid w:val="000E5D1D"/>
    <w:rsid w:val="000E7B2D"/>
    <w:rsid w:val="00100EFE"/>
    <w:rsid w:val="00113D22"/>
    <w:rsid w:val="00117E9F"/>
    <w:rsid w:val="00133039"/>
    <w:rsid w:val="00134A86"/>
    <w:rsid w:val="00147F2E"/>
    <w:rsid w:val="00150DFE"/>
    <w:rsid w:val="00155F63"/>
    <w:rsid w:val="00156711"/>
    <w:rsid w:val="00160CF4"/>
    <w:rsid w:val="0018296D"/>
    <w:rsid w:val="00185788"/>
    <w:rsid w:val="00187178"/>
    <w:rsid w:val="001A7055"/>
    <w:rsid w:val="001C2E4D"/>
    <w:rsid w:val="001D403A"/>
    <w:rsid w:val="001E0508"/>
    <w:rsid w:val="001E78CC"/>
    <w:rsid w:val="001F0844"/>
    <w:rsid w:val="001F78C0"/>
    <w:rsid w:val="00204C12"/>
    <w:rsid w:val="00217182"/>
    <w:rsid w:val="00217C60"/>
    <w:rsid w:val="002234B1"/>
    <w:rsid w:val="00227494"/>
    <w:rsid w:val="0024439E"/>
    <w:rsid w:val="0024521B"/>
    <w:rsid w:val="00263F14"/>
    <w:rsid w:val="002653AE"/>
    <w:rsid w:val="0026593F"/>
    <w:rsid w:val="002702F2"/>
    <w:rsid w:val="002866C3"/>
    <w:rsid w:val="0029357E"/>
    <w:rsid w:val="0029457D"/>
    <w:rsid w:val="002A5038"/>
    <w:rsid w:val="002A7BB8"/>
    <w:rsid w:val="002D4BFB"/>
    <w:rsid w:val="002E3C7D"/>
    <w:rsid w:val="00300258"/>
    <w:rsid w:val="003043B0"/>
    <w:rsid w:val="00306335"/>
    <w:rsid w:val="003121C4"/>
    <w:rsid w:val="0031406D"/>
    <w:rsid w:val="00316770"/>
    <w:rsid w:val="00333DB5"/>
    <w:rsid w:val="003357FD"/>
    <w:rsid w:val="00343CC2"/>
    <w:rsid w:val="00362ACF"/>
    <w:rsid w:val="00362C23"/>
    <w:rsid w:val="00366C2D"/>
    <w:rsid w:val="00366E29"/>
    <w:rsid w:val="0037265E"/>
    <w:rsid w:val="00374E00"/>
    <w:rsid w:val="003774A4"/>
    <w:rsid w:val="00396C6B"/>
    <w:rsid w:val="003A703B"/>
    <w:rsid w:val="003B27B8"/>
    <w:rsid w:val="003E484F"/>
    <w:rsid w:val="003F2B65"/>
    <w:rsid w:val="003F59BC"/>
    <w:rsid w:val="003F78DA"/>
    <w:rsid w:val="004002E8"/>
    <w:rsid w:val="00404C96"/>
    <w:rsid w:val="00405821"/>
    <w:rsid w:val="00421E63"/>
    <w:rsid w:val="004265EE"/>
    <w:rsid w:val="0043542B"/>
    <w:rsid w:val="00460393"/>
    <w:rsid w:val="00462203"/>
    <w:rsid w:val="00466832"/>
    <w:rsid w:val="00472C92"/>
    <w:rsid w:val="00477B30"/>
    <w:rsid w:val="00480CC5"/>
    <w:rsid w:val="0049482F"/>
    <w:rsid w:val="00497809"/>
    <w:rsid w:val="004A4933"/>
    <w:rsid w:val="004A5D16"/>
    <w:rsid w:val="004C2F86"/>
    <w:rsid w:val="004C5C92"/>
    <w:rsid w:val="004D04B5"/>
    <w:rsid w:val="004E0A2A"/>
    <w:rsid w:val="004E0EB0"/>
    <w:rsid w:val="004F1019"/>
    <w:rsid w:val="005024AB"/>
    <w:rsid w:val="005057EA"/>
    <w:rsid w:val="00507F50"/>
    <w:rsid w:val="00533A68"/>
    <w:rsid w:val="00537D03"/>
    <w:rsid w:val="00542FC4"/>
    <w:rsid w:val="00545B56"/>
    <w:rsid w:val="00592B52"/>
    <w:rsid w:val="005B316C"/>
    <w:rsid w:val="005B68DF"/>
    <w:rsid w:val="005C6719"/>
    <w:rsid w:val="005D06DB"/>
    <w:rsid w:val="005D0BC1"/>
    <w:rsid w:val="005D2968"/>
    <w:rsid w:val="005D39E2"/>
    <w:rsid w:val="005F0CDA"/>
    <w:rsid w:val="005F363A"/>
    <w:rsid w:val="00617236"/>
    <w:rsid w:val="00621979"/>
    <w:rsid w:val="00622A20"/>
    <w:rsid w:val="00627208"/>
    <w:rsid w:val="00631D62"/>
    <w:rsid w:val="006332B4"/>
    <w:rsid w:val="00633A31"/>
    <w:rsid w:val="00634DF0"/>
    <w:rsid w:val="00642E6F"/>
    <w:rsid w:val="0065078B"/>
    <w:rsid w:val="00667ED9"/>
    <w:rsid w:val="0068683C"/>
    <w:rsid w:val="00687F34"/>
    <w:rsid w:val="00690C01"/>
    <w:rsid w:val="006B1BC4"/>
    <w:rsid w:val="006B3CBE"/>
    <w:rsid w:val="006C7CCA"/>
    <w:rsid w:val="006E1BF4"/>
    <w:rsid w:val="006F29FD"/>
    <w:rsid w:val="00701130"/>
    <w:rsid w:val="007104B5"/>
    <w:rsid w:val="00726436"/>
    <w:rsid w:val="00734922"/>
    <w:rsid w:val="007362E5"/>
    <w:rsid w:val="007403B0"/>
    <w:rsid w:val="0074220D"/>
    <w:rsid w:val="007500FF"/>
    <w:rsid w:val="00755972"/>
    <w:rsid w:val="007569B1"/>
    <w:rsid w:val="00776FD2"/>
    <w:rsid w:val="007819B5"/>
    <w:rsid w:val="00790C3D"/>
    <w:rsid w:val="007A39A9"/>
    <w:rsid w:val="007A4D71"/>
    <w:rsid w:val="007A4F19"/>
    <w:rsid w:val="007A51A3"/>
    <w:rsid w:val="007B40A0"/>
    <w:rsid w:val="007B7440"/>
    <w:rsid w:val="007C24E6"/>
    <w:rsid w:val="007C63FE"/>
    <w:rsid w:val="007C6ACA"/>
    <w:rsid w:val="007D68B5"/>
    <w:rsid w:val="007E476C"/>
    <w:rsid w:val="007F4D61"/>
    <w:rsid w:val="007F7A9F"/>
    <w:rsid w:val="007F7C16"/>
    <w:rsid w:val="008119F9"/>
    <w:rsid w:val="008204E4"/>
    <w:rsid w:val="00827461"/>
    <w:rsid w:val="00845336"/>
    <w:rsid w:val="0084775B"/>
    <w:rsid w:val="00853115"/>
    <w:rsid w:val="00857450"/>
    <w:rsid w:val="00882E2D"/>
    <w:rsid w:val="00882E6F"/>
    <w:rsid w:val="008A2AA9"/>
    <w:rsid w:val="008A4ACD"/>
    <w:rsid w:val="008B48E4"/>
    <w:rsid w:val="008B6E9D"/>
    <w:rsid w:val="008C41A9"/>
    <w:rsid w:val="008D0713"/>
    <w:rsid w:val="008D227B"/>
    <w:rsid w:val="008F333D"/>
    <w:rsid w:val="008F5700"/>
    <w:rsid w:val="008F5FA8"/>
    <w:rsid w:val="00906D76"/>
    <w:rsid w:val="00910338"/>
    <w:rsid w:val="00911575"/>
    <w:rsid w:val="009123DE"/>
    <w:rsid w:val="0091412F"/>
    <w:rsid w:val="009166C2"/>
    <w:rsid w:val="00923CB9"/>
    <w:rsid w:val="0092523B"/>
    <w:rsid w:val="00931276"/>
    <w:rsid w:val="00931A75"/>
    <w:rsid w:val="00932D40"/>
    <w:rsid w:val="0093585C"/>
    <w:rsid w:val="00940FD6"/>
    <w:rsid w:val="00956205"/>
    <w:rsid w:val="009629F3"/>
    <w:rsid w:val="00962CE0"/>
    <w:rsid w:val="009640B1"/>
    <w:rsid w:val="009672E5"/>
    <w:rsid w:val="00974843"/>
    <w:rsid w:val="00976433"/>
    <w:rsid w:val="009A155D"/>
    <w:rsid w:val="009B119E"/>
    <w:rsid w:val="009B1AAC"/>
    <w:rsid w:val="009D07F2"/>
    <w:rsid w:val="009E3299"/>
    <w:rsid w:val="009F4F5C"/>
    <w:rsid w:val="009F5B72"/>
    <w:rsid w:val="009F6315"/>
    <w:rsid w:val="009F7C37"/>
    <w:rsid w:val="00A14828"/>
    <w:rsid w:val="00A15242"/>
    <w:rsid w:val="00A1716D"/>
    <w:rsid w:val="00A2788B"/>
    <w:rsid w:val="00A34311"/>
    <w:rsid w:val="00A772B5"/>
    <w:rsid w:val="00A83308"/>
    <w:rsid w:val="00A84935"/>
    <w:rsid w:val="00A94C29"/>
    <w:rsid w:val="00AA3437"/>
    <w:rsid w:val="00AB17BF"/>
    <w:rsid w:val="00AB3628"/>
    <w:rsid w:val="00AC3D87"/>
    <w:rsid w:val="00AD375E"/>
    <w:rsid w:val="00AD7B0A"/>
    <w:rsid w:val="00AE14A3"/>
    <w:rsid w:val="00AE5462"/>
    <w:rsid w:val="00AF00B8"/>
    <w:rsid w:val="00AF1E78"/>
    <w:rsid w:val="00B34597"/>
    <w:rsid w:val="00B35F98"/>
    <w:rsid w:val="00B4755A"/>
    <w:rsid w:val="00B5136E"/>
    <w:rsid w:val="00B52F9D"/>
    <w:rsid w:val="00B5561F"/>
    <w:rsid w:val="00B57173"/>
    <w:rsid w:val="00B8783E"/>
    <w:rsid w:val="00B9123D"/>
    <w:rsid w:val="00B96C4B"/>
    <w:rsid w:val="00BA0EF1"/>
    <w:rsid w:val="00BA5208"/>
    <w:rsid w:val="00BB1A9B"/>
    <w:rsid w:val="00BB62FE"/>
    <w:rsid w:val="00BF1584"/>
    <w:rsid w:val="00C15AB3"/>
    <w:rsid w:val="00C16F99"/>
    <w:rsid w:val="00C22FE4"/>
    <w:rsid w:val="00C26AA3"/>
    <w:rsid w:val="00C47CFD"/>
    <w:rsid w:val="00C55203"/>
    <w:rsid w:val="00C55456"/>
    <w:rsid w:val="00C5574F"/>
    <w:rsid w:val="00C577B8"/>
    <w:rsid w:val="00C6159C"/>
    <w:rsid w:val="00C6205F"/>
    <w:rsid w:val="00C624F0"/>
    <w:rsid w:val="00C72907"/>
    <w:rsid w:val="00C863BB"/>
    <w:rsid w:val="00C90AF9"/>
    <w:rsid w:val="00CA30EB"/>
    <w:rsid w:val="00CA7B66"/>
    <w:rsid w:val="00CB526E"/>
    <w:rsid w:val="00CD1C31"/>
    <w:rsid w:val="00CD1F8F"/>
    <w:rsid w:val="00CD29B0"/>
    <w:rsid w:val="00CD3833"/>
    <w:rsid w:val="00CE10B3"/>
    <w:rsid w:val="00CE179D"/>
    <w:rsid w:val="00CE37DE"/>
    <w:rsid w:val="00CE3C15"/>
    <w:rsid w:val="00CE5334"/>
    <w:rsid w:val="00D03A11"/>
    <w:rsid w:val="00D159DC"/>
    <w:rsid w:val="00D16DE4"/>
    <w:rsid w:val="00D22FD6"/>
    <w:rsid w:val="00D34273"/>
    <w:rsid w:val="00D3720C"/>
    <w:rsid w:val="00D50E63"/>
    <w:rsid w:val="00D5563F"/>
    <w:rsid w:val="00D5610D"/>
    <w:rsid w:val="00D5792F"/>
    <w:rsid w:val="00D84FED"/>
    <w:rsid w:val="00D851DA"/>
    <w:rsid w:val="00D85229"/>
    <w:rsid w:val="00D922E5"/>
    <w:rsid w:val="00DA21D4"/>
    <w:rsid w:val="00DC17DC"/>
    <w:rsid w:val="00DD0463"/>
    <w:rsid w:val="00DD1A8F"/>
    <w:rsid w:val="00DD1E65"/>
    <w:rsid w:val="00DD346E"/>
    <w:rsid w:val="00DD676B"/>
    <w:rsid w:val="00DE15FC"/>
    <w:rsid w:val="00DE5861"/>
    <w:rsid w:val="00DF0A93"/>
    <w:rsid w:val="00DF4960"/>
    <w:rsid w:val="00DF54EE"/>
    <w:rsid w:val="00DF5D6D"/>
    <w:rsid w:val="00DF7142"/>
    <w:rsid w:val="00E02A64"/>
    <w:rsid w:val="00E144EC"/>
    <w:rsid w:val="00E24A95"/>
    <w:rsid w:val="00E26156"/>
    <w:rsid w:val="00E31EF8"/>
    <w:rsid w:val="00E45DE7"/>
    <w:rsid w:val="00E579BA"/>
    <w:rsid w:val="00E624FB"/>
    <w:rsid w:val="00E664E8"/>
    <w:rsid w:val="00E67939"/>
    <w:rsid w:val="00E70888"/>
    <w:rsid w:val="00E72FCB"/>
    <w:rsid w:val="00E774DE"/>
    <w:rsid w:val="00E80BA9"/>
    <w:rsid w:val="00EB4DE4"/>
    <w:rsid w:val="00EC4360"/>
    <w:rsid w:val="00EC4A23"/>
    <w:rsid w:val="00ED1304"/>
    <w:rsid w:val="00ED1E2A"/>
    <w:rsid w:val="00ED1E89"/>
    <w:rsid w:val="00ED3D49"/>
    <w:rsid w:val="00EE0A91"/>
    <w:rsid w:val="00EE1049"/>
    <w:rsid w:val="00EE2AB5"/>
    <w:rsid w:val="00EE55D6"/>
    <w:rsid w:val="00F1063B"/>
    <w:rsid w:val="00F24D2D"/>
    <w:rsid w:val="00F31258"/>
    <w:rsid w:val="00F4163C"/>
    <w:rsid w:val="00F51140"/>
    <w:rsid w:val="00F518FA"/>
    <w:rsid w:val="00F52304"/>
    <w:rsid w:val="00F52C34"/>
    <w:rsid w:val="00F5444F"/>
    <w:rsid w:val="00F63B8A"/>
    <w:rsid w:val="00F67CD1"/>
    <w:rsid w:val="00F85754"/>
    <w:rsid w:val="00FA354B"/>
    <w:rsid w:val="00FD535D"/>
    <w:rsid w:val="00FD54BE"/>
    <w:rsid w:val="00FD6E30"/>
    <w:rsid w:val="00FD7C11"/>
    <w:rsid w:val="00FE1212"/>
    <w:rsid w:val="00FE29FF"/>
    <w:rsid w:val="00FE56E5"/>
    <w:rsid w:val="00FF4469"/>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23B"/>
    <w:pPr>
      <w:spacing w:after="200" w:line="276" w:lineRule="auto"/>
    </w:pPr>
    <w:rPr>
      <w:lang w:eastAsia="en-US"/>
    </w:rPr>
  </w:style>
  <w:style w:type="paragraph" w:styleId="Heading1">
    <w:name w:val="heading 1"/>
    <w:basedOn w:val="Normal"/>
    <w:next w:val="Normal"/>
    <w:link w:val="Heading1Char"/>
    <w:uiPriority w:val="99"/>
    <w:qFormat/>
    <w:rsid w:val="0003418F"/>
    <w:pPr>
      <w:keepNext/>
      <w:keepLines/>
      <w:spacing w:before="480" w:after="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9"/>
    <w:qFormat/>
    <w:rsid w:val="0003418F"/>
    <w:pPr>
      <w:keepNext/>
      <w:keepLines/>
      <w:spacing w:before="200" w:after="0"/>
      <w:outlineLvl w:val="1"/>
    </w:pPr>
    <w:rPr>
      <w:rFonts w:ascii="Cambria" w:eastAsia="MS Gothic"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418F"/>
    <w:rPr>
      <w:rFonts w:ascii="Cambria" w:eastAsia="MS Gothic" w:hAnsi="Cambria" w:cs="Times New Roman"/>
      <w:b/>
      <w:bCs/>
      <w:color w:val="365F91"/>
      <w:sz w:val="28"/>
      <w:szCs w:val="28"/>
    </w:rPr>
  </w:style>
  <w:style w:type="character" w:customStyle="1" w:styleId="Heading2Char">
    <w:name w:val="Heading 2 Char"/>
    <w:basedOn w:val="DefaultParagraphFont"/>
    <w:link w:val="Heading2"/>
    <w:uiPriority w:val="99"/>
    <w:locked/>
    <w:rsid w:val="0003418F"/>
    <w:rPr>
      <w:rFonts w:ascii="Cambria" w:eastAsia="MS Gothic" w:hAnsi="Cambria" w:cs="Times New Roman"/>
      <w:b/>
      <w:bCs/>
      <w:color w:val="4F81BD"/>
      <w:sz w:val="26"/>
      <w:szCs w:val="26"/>
    </w:rPr>
  </w:style>
  <w:style w:type="paragraph" w:styleId="ListParagraph">
    <w:name w:val="List Paragraph"/>
    <w:basedOn w:val="Normal"/>
    <w:uiPriority w:val="99"/>
    <w:qFormat/>
    <w:rsid w:val="00477B30"/>
    <w:pPr>
      <w:ind w:left="720"/>
      <w:contextualSpacing/>
    </w:pPr>
  </w:style>
  <w:style w:type="paragraph" w:styleId="BalloonText">
    <w:name w:val="Balloon Text"/>
    <w:basedOn w:val="Normal"/>
    <w:link w:val="BalloonTextChar"/>
    <w:uiPriority w:val="99"/>
    <w:semiHidden/>
    <w:rsid w:val="0031677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316770"/>
    <w:rPr>
      <w:rFonts w:ascii="Lucida Grande" w:hAnsi="Lucida Grande" w:cs="Times New Roman"/>
      <w:sz w:val="18"/>
      <w:szCs w:val="18"/>
    </w:rPr>
  </w:style>
  <w:style w:type="paragraph" w:styleId="Revision">
    <w:name w:val="Revision"/>
    <w:hidden/>
    <w:uiPriority w:val="99"/>
    <w:semiHidden/>
    <w:rsid w:val="00316770"/>
    <w:rPr>
      <w:lang w:eastAsia="en-US"/>
    </w:rPr>
  </w:style>
  <w:style w:type="character" w:styleId="CommentReference">
    <w:name w:val="annotation reference"/>
    <w:basedOn w:val="DefaultParagraphFont"/>
    <w:uiPriority w:val="99"/>
    <w:semiHidden/>
    <w:rsid w:val="00316770"/>
    <w:rPr>
      <w:rFonts w:cs="Times New Roman"/>
      <w:sz w:val="18"/>
      <w:szCs w:val="18"/>
    </w:rPr>
  </w:style>
  <w:style w:type="paragraph" w:styleId="CommentText">
    <w:name w:val="annotation text"/>
    <w:basedOn w:val="Normal"/>
    <w:link w:val="CommentTextChar"/>
    <w:uiPriority w:val="99"/>
    <w:semiHidden/>
    <w:rsid w:val="00316770"/>
    <w:pPr>
      <w:spacing w:line="240" w:lineRule="auto"/>
    </w:pPr>
    <w:rPr>
      <w:sz w:val="24"/>
      <w:szCs w:val="24"/>
    </w:rPr>
  </w:style>
  <w:style w:type="character" w:customStyle="1" w:styleId="CommentTextChar">
    <w:name w:val="Comment Text Char"/>
    <w:basedOn w:val="DefaultParagraphFont"/>
    <w:link w:val="CommentText"/>
    <w:uiPriority w:val="99"/>
    <w:semiHidden/>
    <w:locked/>
    <w:rsid w:val="00316770"/>
    <w:rPr>
      <w:rFonts w:cs="Times New Roman"/>
      <w:sz w:val="24"/>
      <w:szCs w:val="24"/>
    </w:rPr>
  </w:style>
  <w:style w:type="paragraph" w:styleId="CommentSubject">
    <w:name w:val="annotation subject"/>
    <w:basedOn w:val="CommentText"/>
    <w:next w:val="CommentText"/>
    <w:link w:val="CommentSubjectChar"/>
    <w:uiPriority w:val="99"/>
    <w:semiHidden/>
    <w:rsid w:val="00316770"/>
    <w:rPr>
      <w:b/>
      <w:bCs/>
      <w:sz w:val="20"/>
      <w:szCs w:val="20"/>
    </w:rPr>
  </w:style>
  <w:style w:type="character" w:customStyle="1" w:styleId="CommentSubjectChar">
    <w:name w:val="Comment Subject Char"/>
    <w:basedOn w:val="CommentTextChar"/>
    <w:link w:val="CommentSubject"/>
    <w:uiPriority w:val="99"/>
    <w:semiHidden/>
    <w:locked/>
    <w:rsid w:val="00316770"/>
    <w:rPr>
      <w:b/>
      <w:bCs/>
      <w:sz w:val="20"/>
      <w:szCs w:val="20"/>
    </w:rPr>
  </w:style>
  <w:style w:type="paragraph" w:styleId="Header">
    <w:name w:val="header"/>
    <w:basedOn w:val="Normal"/>
    <w:link w:val="HeaderChar"/>
    <w:uiPriority w:val="99"/>
    <w:rsid w:val="007F4D61"/>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7F4D61"/>
    <w:rPr>
      <w:rFonts w:cs="Times New Roman"/>
    </w:rPr>
  </w:style>
  <w:style w:type="paragraph" w:styleId="Footer">
    <w:name w:val="footer"/>
    <w:basedOn w:val="Normal"/>
    <w:link w:val="FooterChar"/>
    <w:uiPriority w:val="99"/>
    <w:rsid w:val="007F4D61"/>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7F4D61"/>
    <w:rPr>
      <w:rFonts w:cs="Times New Roman"/>
    </w:rPr>
  </w:style>
  <w:style w:type="paragraph" w:styleId="FootnoteText">
    <w:name w:val="footnote text"/>
    <w:basedOn w:val="Normal"/>
    <w:link w:val="FootnoteTextChar"/>
    <w:uiPriority w:val="99"/>
    <w:semiHidden/>
    <w:rsid w:val="00AB3628"/>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AB3628"/>
    <w:rPr>
      <w:rFonts w:cs="Times New Roman"/>
      <w:sz w:val="20"/>
      <w:szCs w:val="20"/>
    </w:rPr>
  </w:style>
  <w:style w:type="character" w:styleId="FootnoteReference">
    <w:name w:val="footnote reference"/>
    <w:basedOn w:val="DefaultParagraphFont"/>
    <w:uiPriority w:val="99"/>
    <w:semiHidden/>
    <w:rsid w:val="00AB3628"/>
    <w:rPr>
      <w:rFonts w:cs="Times New Roman"/>
      <w:vertAlign w:val="superscript"/>
    </w:rPr>
  </w:style>
  <w:style w:type="character" w:styleId="Strong">
    <w:name w:val="Strong"/>
    <w:basedOn w:val="DefaultParagraphFont"/>
    <w:uiPriority w:val="99"/>
    <w:qFormat/>
    <w:rsid w:val="0003418F"/>
    <w:rPr>
      <w:rFonts w:cs="Times New Roman"/>
      <w:b/>
      <w:bCs/>
    </w:rPr>
  </w:style>
  <w:style w:type="character" w:styleId="Emphasis">
    <w:name w:val="Emphasis"/>
    <w:basedOn w:val="DefaultParagraphFont"/>
    <w:uiPriority w:val="99"/>
    <w:qFormat/>
    <w:rsid w:val="0003418F"/>
    <w:rPr>
      <w:rFonts w:cs="Times New Roman"/>
      <w:i/>
      <w:iCs/>
    </w:rPr>
  </w:style>
  <w:style w:type="paragraph" w:styleId="Title">
    <w:name w:val="Title"/>
    <w:basedOn w:val="Normal"/>
    <w:next w:val="Normal"/>
    <w:link w:val="TitleChar"/>
    <w:uiPriority w:val="99"/>
    <w:qFormat/>
    <w:rsid w:val="0003418F"/>
    <w:pPr>
      <w:pBdr>
        <w:bottom w:val="single" w:sz="8" w:space="4" w:color="4F81BD"/>
      </w:pBdr>
      <w:spacing w:after="300" w:line="240" w:lineRule="auto"/>
      <w:contextualSpacing/>
    </w:pPr>
    <w:rPr>
      <w:rFonts w:ascii="Cambria" w:eastAsia="MS Gothic" w:hAnsi="Cambria"/>
      <w:color w:val="17365D"/>
      <w:spacing w:val="5"/>
      <w:kern w:val="28"/>
      <w:sz w:val="52"/>
      <w:szCs w:val="52"/>
    </w:rPr>
  </w:style>
  <w:style w:type="character" w:customStyle="1" w:styleId="TitleChar">
    <w:name w:val="Title Char"/>
    <w:basedOn w:val="DefaultParagraphFont"/>
    <w:link w:val="Title"/>
    <w:uiPriority w:val="99"/>
    <w:locked/>
    <w:rsid w:val="0003418F"/>
    <w:rPr>
      <w:rFonts w:ascii="Cambria" w:eastAsia="MS Gothic" w:hAnsi="Cambria" w:cs="Times New Roman"/>
      <w:color w:val="17365D"/>
      <w:spacing w:val="5"/>
      <w:kern w:val="28"/>
      <w:sz w:val="52"/>
      <w:szCs w:val="52"/>
    </w:rPr>
  </w:style>
  <w:style w:type="table" w:styleId="TableGrid">
    <w:name w:val="Table Grid"/>
    <w:basedOn w:val="TableNormal"/>
    <w:uiPriority w:val="99"/>
    <w:rsid w:val="001E05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rsid w:val="001E050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11</Pages>
  <Words>3213</Words>
  <Characters>18316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              </dc:title>
  <dc:subject/>
  <dc:creator>Ozgur Cekil</dc:creator>
  <cp:keywords>TASNİF DIŞI</cp:keywords>
  <dc:description/>
  <cp:lastModifiedBy>AHMET</cp:lastModifiedBy>
  <cp:revision>2</cp:revision>
  <cp:lastPrinted>2014-10-23T13:38:00Z</cp:lastPrinted>
  <dcterms:created xsi:type="dcterms:W3CDTF">2014-11-11T18:16:00Z</dcterms:created>
  <dcterms:modified xsi:type="dcterms:W3CDTF">2014-11-11T18:16:00Z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da409f9a-fd80-4f9d-a67a-2958964ec346</vt:lpwstr>
  </property>
  <property fmtid="{D5CDD505-2E9C-101B-9397-08002B2CF9AE}" pid="3" name="INFOSınıflandırma">
    <vt:lpwstr>TASNİF DIŞI</vt:lpwstr>
  </property>
</Properties>
</file>